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B4F72"/>
          <w:sz w:val="40"/>
        </w:rPr>
        <w:t>FREELANCE CLIENT APPROVAL NOTES</w:t>
      </w:r>
    </w:p>
    <w:p>
      <w:pPr>
        <w:spacing w:after="360"/>
      </w:pPr>
      <w:r>
        <w:rPr>
          <w:rFonts w:ascii="Arial" w:hAnsi="Arial"/>
          <w:i/>
          <w:color w:val="7F8C8D"/>
          <w:sz w:val="21"/>
        </w:rPr>
        <w:t>Official Portfolios &amp; Public Display Clearance Registry</w:t>
      </w:r>
    </w:p>
    <w:p>
      <w:pPr>
        <w:spacing w:after="300"/>
        <w:ind w:left="360" w:right="360"/>
      </w:pPr>
      <w:r>
        <w:rPr>
          <w:rFonts w:ascii="Arial" w:hAnsi="Arial"/>
          <w:i/>
          <w:color w:val="7B241C"/>
          <w:sz w:val="19"/>
        </w:rPr>
        <w:t>CONFIDENTIALITY &amp; USE NOTICE: This document serves as the formal record of client approvals for public freelance portfolio inclusion. Only assets explicitly designated as 'Approved' may be displayed in case studies or public portfolios. Items marked as 'Restricted' or 'Pending' must remain hidden.</w:t>
      </w:r>
    </w:p>
    <w:p>
      <w:pPr>
        <w:keepNext/>
        <w:spacing w:before="240" w:after="80"/>
      </w:pPr>
      <w:r>
        <w:rPr>
          <w:rFonts w:ascii="Arial" w:hAnsi="Arial"/>
          <w:b/>
          <w:color w:val="1B4F72"/>
          <w:sz w:val="28"/>
        </w:rPr>
        <w:t>1. Executive Sign-off Matrix</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592"/>
            <w:tcMar>
              <w:top w:w="120" w:type="dxa"/>
              <w:bottom w:w="120" w:type="dxa"/>
              <w:left w:w="140" w:type="dxa"/>
              <w:right w:w="140" w:type="dxa"/>
            </w:tcMar>
            <w:shd w:val="clear" w:color="auto" w:fill="1B4F72"/>
          </w:tcPr>
          <w:p>
            <w:pPr>
              <w:spacing w:before="0" w:after="0"/>
            </w:pPr>
            <w:r>
              <w:rPr>
                <w:rFonts w:ascii="Arial" w:hAnsi="Arial"/>
                <w:b/>
                <w:color w:val="FFFFFF"/>
                <w:sz w:val="19"/>
              </w:rPr>
              <w:t>Asset ID</w:t>
            </w:r>
          </w:p>
        </w:tc>
        <w:tc>
          <w:tcPr>
            <w:tcW w:type="dxa" w:w="2160"/>
            <w:tcMar>
              <w:top w:w="120" w:type="dxa"/>
              <w:bottom w:w="120" w:type="dxa"/>
              <w:left w:w="140" w:type="dxa"/>
              <w:right w:w="140" w:type="dxa"/>
            </w:tcMar>
            <w:shd w:val="clear" w:color="auto" w:fill="1B4F72"/>
          </w:tcPr>
          <w:p>
            <w:pPr>
              <w:spacing w:before="0" w:after="0"/>
            </w:pPr>
            <w:r>
              <w:rPr>
                <w:rFonts w:ascii="Arial" w:hAnsi="Arial"/>
                <w:b/>
                <w:color w:val="FFFFFF"/>
                <w:sz w:val="19"/>
              </w:rPr>
              <w:t>Client Name</w:t>
            </w:r>
          </w:p>
        </w:tc>
        <w:tc>
          <w:tcPr>
            <w:tcW w:type="dxa" w:w="2016"/>
            <w:tcMar>
              <w:top w:w="120" w:type="dxa"/>
              <w:bottom w:w="120" w:type="dxa"/>
              <w:left w:w="140" w:type="dxa"/>
              <w:right w:w="140" w:type="dxa"/>
            </w:tcMar>
            <w:shd w:val="clear" w:color="auto" w:fill="1B4F72"/>
          </w:tcPr>
          <w:p>
            <w:pPr>
              <w:spacing w:before="0" w:after="0"/>
            </w:pPr>
            <w:r>
              <w:rPr>
                <w:rFonts w:ascii="Arial" w:hAnsi="Arial"/>
                <w:b/>
                <w:color w:val="FFFFFF"/>
                <w:sz w:val="19"/>
              </w:rPr>
              <w:t>Brand / Project</w:t>
            </w:r>
          </w:p>
        </w:tc>
        <w:tc>
          <w:tcPr>
            <w:tcW w:type="dxa" w:w="1872"/>
            <w:tcMar>
              <w:top w:w="120" w:type="dxa"/>
              <w:bottom w:w="120" w:type="dxa"/>
              <w:left w:w="140" w:type="dxa"/>
              <w:right w:w="140" w:type="dxa"/>
            </w:tcMar>
            <w:shd w:val="clear" w:color="auto" w:fill="1B4F72"/>
          </w:tcPr>
          <w:p>
            <w:pPr>
              <w:spacing w:before="0" w:after="0"/>
            </w:pPr>
            <w:r>
              <w:rPr>
                <w:rFonts w:ascii="Arial" w:hAnsi="Arial"/>
                <w:b/>
                <w:color w:val="FFFFFF"/>
                <w:sz w:val="19"/>
              </w:rPr>
              <w:t>Portfolio Approval</w:t>
            </w:r>
          </w:p>
        </w:tc>
        <w:tc>
          <w:tcPr>
            <w:tcW w:type="dxa" w:w="1440"/>
            <w:tcMar>
              <w:top w:w="120" w:type="dxa"/>
              <w:bottom w:w="120" w:type="dxa"/>
              <w:left w:w="140" w:type="dxa"/>
              <w:right w:w="140" w:type="dxa"/>
            </w:tcMar>
            <w:shd w:val="clear" w:color="auto" w:fill="1B4F72"/>
          </w:tcPr>
          <w:p>
            <w:pPr>
              <w:spacing w:before="0" w:after="0"/>
            </w:pPr>
            <w:r>
              <w:rPr>
                <w:rFonts w:ascii="Arial" w:hAnsi="Arial"/>
                <w:b/>
                <w:color w:val="FFFFFF"/>
                <w:sz w:val="19"/>
              </w:rPr>
              <w:t>Sign-off Date</w:t>
            </w:r>
          </w:p>
        </w:tc>
      </w:tr>
      <w:tr>
        <w:trPr>
          <w:cantSplit/>
        </w:trPr>
        <w:tc>
          <w:tcPr>
            <w:tcW w:type="dxa" w:w="2592"/>
            <w:tcMar>
              <w:top w:w="120" w:type="dxa"/>
              <w:bottom w:w="120" w:type="dxa"/>
              <w:left w:w="140" w:type="dxa"/>
              <w:right w:w="140" w:type="dxa"/>
            </w:tcMar>
          </w:tcPr>
          <w:p>
            <w:pPr>
              <w:spacing w:before="0" w:after="0"/>
            </w:pPr>
            <w:r>
              <w:rPr>
                <w:rFonts w:ascii="Arial" w:hAnsi="Arial"/>
                <w:sz w:val="18"/>
              </w:rPr>
              <w:t>CAMP_HERO_WEB_v1.webp</w:t>
            </w:r>
          </w:p>
        </w:tc>
        <w:tc>
          <w:tcPr>
            <w:tcW w:type="dxa" w:w="2160"/>
            <w:tcMar>
              <w:top w:w="120" w:type="dxa"/>
              <w:bottom w:w="120" w:type="dxa"/>
              <w:left w:w="140" w:type="dxa"/>
              <w:right w:w="140" w:type="dxa"/>
            </w:tcMar>
          </w:tcPr>
          <w:p>
            <w:pPr>
              <w:spacing w:before="0" w:after="0"/>
            </w:pPr>
            <w:r>
              <w:rPr>
                <w:rFonts w:ascii="Arial" w:hAnsi="Arial"/>
                <w:sz w:val="18"/>
              </w:rPr>
              <w:t>Global Retail Corp</w:t>
            </w:r>
          </w:p>
        </w:tc>
        <w:tc>
          <w:tcPr>
            <w:tcW w:type="dxa" w:w="2016"/>
            <w:tcMar>
              <w:top w:w="120" w:type="dxa"/>
              <w:bottom w:w="120" w:type="dxa"/>
              <w:left w:w="140" w:type="dxa"/>
              <w:right w:w="140" w:type="dxa"/>
            </w:tcMar>
          </w:tcPr>
          <w:p>
            <w:pPr>
              <w:spacing w:before="0" w:after="0"/>
            </w:pPr>
            <w:r>
              <w:rPr>
                <w:rFonts w:ascii="Arial" w:hAnsi="Arial"/>
                <w:sz w:val="18"/>
              </w:rPr>
              <w:t>BrandCo India</w:t>
            </w:r>
          </w:p>
        </w:tc>
        <w:tc>
          <w:tcPr>
            <w:tcW w:type="dxa" w:w="1872"/>
            <w:tcMar>
              <w:top w:w="120" w:type="dxa"/>
              <w:bottom w:w="120" w:type="dxa"/>
              <w:left w:w="140" w:type="dxa"/>
              <w:right w:w="140" w:type="dxa"/>
            </w:tcMar>
          </w:tcPr>
          <w:p>
            <w:pPr>
              <w:spacing w:before="0" w:after="0"/>
            </w:pPr>
            <w:r>
              <w:rPr>
                <w:rFonts w:ascii="Arial" w:hAnsi="Arial"/>
                <w:b/>
                <w:color w:val="1E8449"/>
                <w:sz w:val="18"/>
              </w:rPr>
              <w:t>Approved</w:t>
            </w:r>
          </w:p>
        </w:tc>
        <w:tc>
          <w:tcPr>
            <w:tcW w:type="dxa" w:w="1440"/>
            <w:tcMar>
              <w:top w:w="120" w:type="dxa"/>
              <w:bottom w:w="120" w:type="dxa"/>
              <w:left w:w="140" w:type="dxa"/>
              <w:right w:w="140" w:type="dxa"/>
            </w:tcMar>
          </w:tcPr>
          <w:p>
            <w:pPr>
              <w:spacing w:before="0" w:after="0"/>
            </w:pPr>
            <w:r>
              <w:rPr>
                <w:rFonts w:ascii="Arial" w:hAnsi="Arial"/>
                <w:sz w:val="18"/>
              </w:rPr>
              <w:t>2026-05-10</w:t>
            </w:r>
          </w:p>
        </w:tc>
      </w:tr>
      <w:tr>
        <w:trPr>
          <w:cantSplit/>
        </w:trPr>
        <w:tc>
          <w:tcPr>
            <w:tcW w:type="dxa" w:w="2592"/>
            <w:tcMar>
              <w:top w:w="120" w:type="dxa"/>
              <w:bottom w:w="120" w:type="dxa"/>
              <w:left w:w="140" w:type="dxa"/>
              <w:right w:w="140" w:type="dxa"/>
            </w:tcMar>
            <w:shd w:val="clear" w:color="auto" w:fill="F2F4F4"/>
          </w:tcPr>
          <w:p>
            <w:pPr>
              <w:spacing w:before="0" w:after="0"/>
            </w:pPr>
            <w:r>
              <w:rPr>
                <w:rFonts w:ascii="Arial" w:hAnsi="Arial"/>
                <w:sz w:val="18"/>
              </w:rPr>
              <w:t>CAMP_FEED_INSTA_v2.jpg</w:t>
            </w:r>
          </w:p>
        </w:tc>
        <w:tc>
          <w:tcPr>
            <w:tcW w:type="dxa" w:w="2160"/>
            <w:tcMar>
              <w:top w:w="120" w:type="dxa"/>
              <w:bottom w:w="120" w:type="dxa"/>
              <w:left w:w="140" w:type="dxa"/>
              <w:right w:w="140" w:type="dxa"/>
            </w:tcMar>
            <w:shd w:val="clear" w:color="auto" w:fill="F2F4F4"/>
          </w:tcPr>
          <w:p>
            <w:pPr>
              <w:spacing w:before="0" w:after="0"/>
            </w:pPr>
            <w:r>
              <w:rPr>
                <w:rFonts w:ascii="Arial" w:hAnsi="Arial"/>
                <w:sz w:val="18"/>
              </w:rPr>
              <w:t>Apex Social Media</w:t>
            </w:r>
          </w:p>
        </w:tc>
        <w:tc>
          <w:tcPr>
            <w:tcW w:type="dxa" w:w="2016"/>
            <w:tcMar>
              <w:top w:w="120" w:type="dxa"/>
              <w:bottom w:w="120" w:type="dxa"/>
              <w:left w:w="140" w:type="dxa"/>
              <w:right w:w="140" w:type="dxa"/>
            </w:tcMar>
            <w:shd w:val="clear" w:color="auto" w:fill="F2F4F4"/>
          </w:tcPr>
          <w:p>
            <w:pPr>
              <w:spacing w:before="0" w:after="0"/>
            </w:pPr>
            <w:r>
              <w:rPr>
                <w:rFonts w:ascii="Arial" w:hAnsi="Arial"/>
                <w:sz w:val="18"/>
              </w:rPr>
              <w:t>Apex Media</w:t>
            </w:r>
          </w:p>
        </w:tc>
        <w:tc>
          <w:tcPr>
            <w:tcW w:type="dxa" w:w="1872"/>
            <w:tcMar>
              <w:top w:w="120" w:type="dxa"/>
              <w:bottom w:w="120" w:type="dxa"/>
              <w:left w:w="140" w:type="dxa"/>
              <w:right w:w="140" w:type="dxa"/>
            </w:tcMar>
            <w:shd w:val="clear" w:color="auto" w:fill="F2F4F4"/>
          </w:tcPr>
          <w:p>
            <w:pPr>
              <w:spacing w:before="0" w:after="0"/>
            </w:pPr>
            <w:r>
              <w:rPr>
                <w:rFonts w:ascii="Arial" w:hAnsi="Arial"/>
                <w:b/>
                <w:color w:val="1E8449"/>
                <w:sz w:val="18"/>
              </w:rPr>
              <w:t>Approved</w:t>
            </w:r>
          </w:p>
        </w:tc>
        <w:tc>
          <w:tcPr>
            <w:tcW w:type="dxa" w:w="1440"/>
            <w:tcMar>
              <w:top w:w="120" w:type="dxa"/>
              <w:bottom w:w="120" w:type="dxa"/>
              <w:left w:w="140" w:type="dxa"/>
              <w:right w:w="140" w:type="dxa"/>
            </w:tcMar>
            <w:shd w:val="clear" w:color="auto" w:fill="F2F4F4"/>
          </w:tcPr>
          <w:p>
            <w:pPr>
              <w:spacing w:before="0" w:after="0"/>
            </w:pPr>
            <w:r>
              <w:rPr>
                <w:rFonts w:ascii="Arial" w:hAnsi="Arial"/>
                <w:sz w:val="18"/>
              </w:rPr>
              <w:t>2026-05-12</w:t>
            </w:r>
          </w:p>
        </w:tc>
      </w:tr>
      <w:tr>
        <w:trPr>
          <w:cantSplit/>
        </w:trPr>
        <w:tc>
          <w:tcPr>
            <w:tcW w:type="dxa" w:w="2592"/>
            <w:tcMar>
              <w:top w:w="120" w:type="dxa"/>
              <w:bottom w:w="120" w:type="dxa"/>
              <w:left w:w="140" w:type="dxa"/>
              <w:right w:w="140" w:type="dxa"/>
            </w:tcMar>
          </w:tcPr>
          <w:p>
            <w:pPr>
              <w:spacing w:before="0" w:after="0"/>
            </w:pPr>
            <w:r>
              <w:rPr>
                <w:rFonts w:ascii="Arial" w:hAnsi="Arial"/>
                <w:sz w:val="18"/>
              </w:rPr>
              <w:t>CAMP_FLYER_PRINT_v1.pdf</w:t>
            </w:r>
          </w:p>
        </w:tc>
        <w:tc>
          <w:tcPr>
            <w:tcW w:type="dxa" w:w="2160"/>
            <w:tcMar>
              <w:top w:w="120" w:type="dxa"/>
              <w:bottom w:w="120" w:type="dxa"/>
              <w:left w:w="140" w:type="dxa"/>
              <w:right w:w="140" w:type="dxa"/>
            </w:tcMar>
          </w:tcPr>
          <w:p>
            <w:pPr>
              <w:spacing w:before="0" w:after="0"/>
            </w:pPr>
            <w:r>
              <w:rPr>
                <w:rFonts w:ascii="Arial" w:hAnsi="Arial"/>
                <w:sz w:val="18"/>
              </w:rPr>
              <w:t>Vanguard Print Solutions</w:t>
            </w:r>
          </w:p>
        </w:tc>
        <w:tc>
          <w:tcPr>
            <w:tcW w:type="dxa" w:w="2016"/>
            <w:tcMar>
              <w:top w:w="120" w:type="dxa"/>
              <w:bottom w:w="120" w:type="dxa"/>
              <w:left w:w="140" w:type="dxa"/>
              <w:right w:w="140" w:type="dxa"/>
            </w:tcMar>
          </w:tcPr>
          <w:p>
            <w:pPr>
              <w:spacing w:before="0" w:after="0"/>
            </w:pPr>
            <w:r>
              <w:rPr>
                <w:rFonts w:ascii="Arial" w:hAnsi="Arial"/>
                <w:sz w:val="18"/>
              </w:rPr>
              <w:t>Vanguard Express</w:t>
            </w:r>
          </w:p>
        </w:tc>
        <w:tc>
          <w:tcPr>
            <w:tcW w:type="dxa" w:w="1872"/>
            <w:tcMar>
              <w:top w:w="120" w:type="dxa"/>
              <w:bottom w:w="120" w:type="dxa"/>
              <w:left w:w="140" w:type="dxa"/>
              <w:right w:w="140" w:type="dxa"/>
            </w:tcMar>
          </w:tcPr>
          <w:p>
            <w:pPr>
              <w:spacing w:before="0" w:after="0"/>
            </w:pPr>
            <w:r>
              <w:rPr>
                <w:rFonts w:ascii="Arial" w:hAnsi="Arial"/>
                <w:b/>
                <w:color w:val="BA4A3F"/>
                <w:sz w:val="18"/>
              </w:rPr>
              <w:t>Restricted (Internal Only)</w:t>
            </w:r>
          </w:p>
        </w:tc>
        <w:tc>
          <w:tcPr>
            <w:tcW w:type="dxa" w:w="1440"/>
            <w:tcMar>
              <w:top w:w="120" w:type="dxa"/>
              <w:bottom w:w="120" w:type="dxa"/>
              <w:left w:w="140" w:type="dxa"/>
              <w:right w:w="140" w:type="dxa"/>
            </w:tcMar>
          </w:tcPr>
          <w:p>
            <w:pPr>
              <w:spacing w:before="0" w:after="0"/>
            </w:pPr>
            <w:r>
              <w:rPr>
                <w:rFonts w:ascii="Arial" w:hAnsi="Arial"/>
                <w:sz w:val="18"/>
              </w:rPr>
              <w:t>—</w:t>
            </w:r>
          </w:p>
        </w:tc>
      </w:tr>
      <w:tr>
        <w:trPr>
          <w:cantSplit/>
        </w:trPr>
        <w:tc>
          <w:tcPr>
            <w:tcW w:type="dxa" w:w="2592"/>
            <w:tcMar>
              <w:top w:w="120" w:type="dxa"/>
              <w:bottom w:w="120" w:type="dxa"/>
              <w:left w:w="140" w:type="dxa"/>
              <w:right w:w="140" w:type="dxa"/>
            </w:tcMar>
            <w:shd w:val="clear" w:color="auto" w:fill="F2F4F4"/>
          </w:tcPr>
          <w:p>
            <w:pPr>
              <w:spacing w:before="0" w:after="0"/>
            </w:pPr>
            <w:r>
              <w:rPr>
                <w:rFonts w:ascii="Arial" w:hAnsi="Arial"/>
                <w:sz w:val="18"/>
              </w:rPr>
              <w:t>CAMP_CAROUSEL_FB_v3.jpg</w:t>
            </w:r>
          </w:p>
        </w:tc>
        <w:tc>
          <w:tcPr>
            <w:tcW w:type="dxa" w:w="2160"/>
            <w:tcMar>
              <w:top w:w="120" w:type="dxa"/>
              <w:bottom w:w="120" w:type="dxa"/>
              <w:left w:w="140" w:type="dxa"/>
              <w:right w:w="140" w:type="dxa"/>
            </w:tcMar>
            <w:shd w:val="clear" w:color="auto" w:fill="F2F4F4"/>
          </w:tcPr>
          <w:p>
            <w:pPr>
              <w:spacing w:before="0" w:after="0"/>
            </w:pPr>
            <w:r>
              <w:rPr>
                <w:rFonts w:ascii="Arial" w:hAnsi="Arial"/>
                <w:sz w:val="18"/>
              </w:rPr>
              <w:t>Meta Dynamics</w:t>
            </w:r>
          </w:p>
        </w:tc>
        <w:tc>
          <w:tcPr>
            <w:tcW w:type="dxa" w:w="2016"/>
            <w:tcMar>
              <w:top w:w="120" w:type="dxa"/>
              <w:bottom w:w="120" w:type="dxa"/>
              <w:left w:w="140" w:type="dxa"/>
              <w:right w:w="140" w:type="dxa"/>
            </w:tcMar>
            <w:shd w:val="clear" w:color="auto" w:fill="F2F4F4"/>
          </w:tcPr>
          <w:p>
            <w:pPr>
              <w:spacing w:before="0" w:after="0"/>
            </w:pPr>
            <w:r>
              <w:rPr>
                <w:rFonts w:ascii="Arial" w:hAnsi="Arial"/>
                <w:sz w:val="18"/>
              </w:rPr>
              <w:t>MetaSphere</w:t>
            </w:r>
          </w:p>
        </w:tc>
        <w:tc>
          <w:tcPr>
            <w:tcW w:type="dxa" w:w="1872"/>
            <w:tcMar>
              <w:top w:w="120" w:type="dxa"/>
              <w:bottom w:w="120" w:type="dxa"/>
              <w:left w:w="140" w:type="dxa"/>
              <w:right w:w="140" w:type="dxa"/>
            </w:tcMar>
            <w:shd w:val="clear" w:color="auto" w:fill="F2F4F4"/>
          </w:tcPr>
          <w:p>
            <w:pPr>
              <w:spacing w:before="0" w:after="0"/>
            </w:pPr>
            <w:r>
              <w:rPr>
                <w:rFonts w:ascii="Arial" w:hAnsi="Arial"/>
                <w:b/>
                <w:color w:val="1E8449"/>
                <w:sz w:val="18"/>
              </w:rPr>
              <w:t>Approved</w:t>
            </w:r>
          </w:p>
        </w:tc>
        <w:tc>
          <w:tcPr>
            <w:tcW w:type="dxa" w:w="1440"/>
            <w:tcMar>
              <w:top w:w="120" w:type="dxa"/>
              <w:bottom w:w="120" w:type="dxa"/>
              <w:left w:w="140" w:type="dxa"/>
              <w:right w:w="140" w:type="dxa"/>
            </w:tcMar>
            <w:shd w:val="clear" w:color="auto" w:fill="F2F4F4"/>
          </w:tcPr>
          <w:p>
            <w:pPr>
              <w:spacing w:before="0" w:after="0"/>
            </w:pPr>
            <w:r>
              <w:rPr>
                <w:rFonts w:ascii="Arial" w:hAnsi="Arial"/>
                <w:sz w:val="18"/>
              </w:rPr>
              <w:t>2026-05-15</w:t>
            </w:r>
          </w:p>
        </w:tc>
      </w:tr>
      <w:tr>
        <w:trPr>
          <w:cantSplit/>
        </w:trPr>
        <w:tc>
          <w:tcPr>
            <w:tcW w:type="dxa" w:w="2592"/>
            <w:tcMar>
              <w:top w:w="120" w:type="dxa"/>
              <w:bottom w:w="120" w:type="dxa"/>
              <w:left w:w="140" w:type="dxa"/>
              <w:right w:w="140" w:type="dxa"/>
            </w:tcMar>
          </w:tcPr>
          <w:p>
            <w:pPr>
              <w:spacing w:before="0" w:after="0"/>
            </w:pPr>
            <w:r>
              <w:rPr>
                <w:rFonts w:ascii="Arial" w:hAnsi="Arial"/>
                <w:sz w:val="18"/>
              </w:rPr>
              <w:t>CAMP_HEADER_EMAIL_v1.jpg</w:t>
            </w:r>
          </w:p>
        </w:tc>
        <w:tc>
          <w:tcPr>
            <w:tcW w:type="dxa" w:w="2160"/>
            <w:tcMar>
              <w:top w:w="120" w:type="dxa"/>
              <w:bottom w:w="120" w:type="dxa"/>
              <w:left w:w="140" w:type="dxa"/>
              <w:right w:w="140" w:type="dxa"/>
            </w:tcMar>
          </w:tcPr>
          <w:p>
            <w:pPr>
              <w:spacing w:before="0" w:after="0"/>
            </w:pPr>
            <w:r>
              <w:rPr>
                <w:rFonts w:ascii="Arial" w:hAnsi="Arial"/>
                <w:sz w:val="18"/>
              </w:rPr>
              <w:t>Hyperion Marketing</w:t>
            </w:r>
          </w:p>
        </w:tc>
        <w:tc>
          <w:tcPr>
            <w:tcW w:type="dxa" w:w="2016"/>
            <w:tcMar>
              <w:top w:w="120" w:type="dxa"/>
              <w:bottom w:w="120" w:type="dxa"/>
              <w:left w:w="140" w:type="dxa"/>
              <w:right w:w="140" w:type="dxa"/>
            </w:tcMar>
          </w:tcPr>
          <w:p>
            <w:pPr>
              <w:spacing w:before="0" w:after="0"/>
            </w:pPr>
            <w:r>
              <w:rPr>
                <w:rFonts w:ascii="Arial" w:hAnsi="Arial"/>
                <w:sz w:val="18"/>
              </w:rPr>
              <w:t>Hyperion Hub</w:t>
            </w:r>
          </w:p>
        </w:tc>
        <w:tc>
          <w:tcPr>
            <w:tcW w:type="dxa" w:w="1872"/>
            <w:tcMar>
              <w:top w:w="120" w:type="dxa"/>
              <w:bottom w:w="120" w:type="dxa"/>
              <w:left w:w="140" w:type="dxa"/>
              <w:right w:w="140" w:type="dxa"/>
            </w:tcMar>
          </w:tcPr>
          <w:p>
            <w:pPr>
              <w:spacing w:before="0" w:after="0"/>
            </w:pPr>
            <w:r>
              <w:rPr>
                <w:rFonts w:ascii="Arial" w:hAnsi="Arial"/>
                <w:b/>
                <w:color w:val="1E8449"/>
                <w:sz w:val="18"/>
              </w:rPr>
              <w:t>Approved</w:t>
            </w:r>
          </w:p>
        </w:tc>
        <w:tc>
          <w:tcPr>
            <w:tcW w:type="dxa" w:w="1440"/>
            <w:tcMar>
              <w:top w:w="120" w:type="dxa"/>
              <w:bottom w:w="120" w:type="dxa"/>
              <w:left w:w="140" w:type="dxa"/>
              <w:right w:w="140" w:type="dxa"/>
            </w:tcMar>
          </w:tcPr>
          <w:p>
            <w:pPr>
              <w:spacing w:before="0" w:after="0"/>
            </w:pPr>
            <w:r>
              <w:rPr>
                <w:rFonts w:ascii="Arial" w:hAnsi="Arial"/>
                <w:sz w:val="18"/>
              </w:rPr>
              <w:t>2026-05-15</w:t>
            </w:r>
          </w:p>
        </w:tc>
      </w:tr>
      <w:tr>
        <w:trPr>
          <w:cantSplit/>
        </w:trPr>
        <w:tc>
          <w:tcPr>
            <w:tcW w:type="dxa" w:w="2592"/>
            <w:tcMar>
              <w:top w:w="120" w:type="dxa"/>
              <w:bottom w:w="120" w:type="dxa"/>
              <w:left w:w="140" w:type="dxa"/>
              <w:right w:w="140" w:type="dxa"/>
            </w:tcMar>
            <w:shd w:val="clear" w:color="auto" w:fill="F2F4F4"/>
          </w:tcPr>
          <w:p>
            <w:pPr>
              <w:spacing w:before="0" w:after="0"/>
            </w:pPr>
            <w:r>
              <w:rPr>
                <w:rFonts w:ascii="Arial" w:hAnsi="Arial"/>
                <w:sz w:val="18"/>
              </w:rPr>
              <w:t>CAMP_BOX_PACK_v4.pdf</w:t>
            </w:r>
          </w:p>
        </w:tc>
        <w:tc>
          <w:tcPr>
            <w:tcW w:type="dxa" w:w="2160"/>
            <w:tcMar>
              <w:top w:w="120" w:type="dxa"/>
              <w:bottom w:w="120" w:type="dxa"/>
              <w:left w:w="140" w:type="dxa"/>
              <w:right w:w="140" w:type="dxa"/>
            </w:tcMar>
            <w:shd w:val="clear" w:color="auto" w:fill="F2F4F4"/>
          </w:tcPr>
          <w:p>
            <w:pPr>
              <w:spacing w:before="0" w:after="0"/>
            </w:pPr>
            <w:r>
              <w:rPr>
                <w:rFonts w:ascii="Arial" w:hAnsi="Arial"/>
                <w:sz w:val="18"/>
              </w:rPr>
              <w:t>EcoPack Solutions</w:t>
            </w:r>
          </w:p>
        </w:tc>
        <w:tc>
          <w:tcPr>
            <w:tcW w:type="dxa" w:w="2016"/>
            <w:tcMar>
              <w:top w:w="120" w:type="dxa"/>
              <w:bottom w:w="120" w:type="dxa"/>
              <w:left w:w="140" w:type="dxa"/>
              <w:right w:w="140" w:type="dxa"/>
            </w:tcMar>
            <w:shd w:val="clear" w:color="auto" w:fill="F2F4F4"/>
          </w:tcPr>
          <w:p>
            <w:pPr>
              <w:spacing w:before="0" w:after="0"/>
            </w:pPr>
            <w:r>
              <w:rPr>
                <w:rFonts w:ascii="Arial" w:hAnsi="Arial"/>
                <w:sz w:val="18"/>
              </w:rPr>
              <w:t>EcoPack Premium</w:t>
            </w:r>
          </w:p>
        </w:tc>
        <w:tc>
          <w:tcPr>
            <w:tcW w:type="dxa" w:w="1872"/>
            <w:tcMar>
              <w:top w:w="120" w:type="dxa"/>
              <w:bottom w:w="120" w:type="dxa"/>
              <w:left w:w="140" w:type="dxa"/>
              <w:right w:w="140" w:type="dxa"/>
            </w:tcMar>
            <w:shd w:val="clear" w:color="auto" w:fill="F2F4F4"/>
          </w:tcPr>
          <w:p>
            <w:pPr>
              <w:spacing w:before="0" w:after="0"/>
            </w:pPr>
            <w:r>
              <w:rPr>
                <w:rFonts w:ascii="Arial" w:hAnsi="Arial"/>
                <w:b/>
                <w:color w:val="BA4A3F"/>
                <w:sz w:val="18"/>
              </w:rPr>
              <w:t>Restricted (NDA)</w:t>
            </w:r>
          </w:p>
        </w:tc>
        <w:tc>
          <w:tcPr>
            <w:tcW w:type="dxa" w:w="1440"/>
            <w:tcMar>
              <w:top w:w="120" w:type="dxa"/>
              <w:bottom w:w="120" w:type="dxa"/>
              <w:left w:w="140" w:type="dxa"/>
              <w:right w:w="140" w:type="dxa"/>
            </w:tcMar>
            <w:shd w:val="clear" w:color="auto" w:fill="F2F4F4"/>
          </w:tcPr>
          <w:p>
            <w:pPr>
              <w:spacing w:before="0" w:after="0"/>
            </w:pPr>
            <w:r>
              <w:rPr>
                <w:rFonts w:ascii="Arial" w:hAnsi="Arial"/>
                <w:sz w:val="18"/>
              </w:rPr>
              <w:t>—</w:t>
            </w:r>
          </w:p>
        </w:tc>
      </w:tr>
      <w:tr>
        <w:trPr>
          <w:cantSplit/>
        </w:trPr>
        <w:tc>
          <w:tcPr>
            <w:tcW w:type="dxa" w:w="2592"/>
            <w:tcMar>
              <w:top w:w="120" w:type="dxa"/>
              <w:bottom w:w="120" w:type="dxa"/>
              <w:left w:w="140" w:type="dxa"/>
              <w:right w:w="140" w:type="dxa"/>
            </w:tcMar>
          </w:tcPr>
          <w:p>
            <w:pPr>
              <w:spacing w:before="0" w:after="0"/>
            </w:pPr>
            <w:r>
              <w:rPr>
                <w:rFonts w:ascii="Arial" w:hAnsi="Arial"/>
                <w:sz w:val="18"/>
              </w:rPr>
              <w:t>CAMP_STORY_INSTA_v2.jpg</w:t>
            </w:r>
          </w:p>
        </w:tc>
        <w:tc>
          <w:tcPr>
            <w:tcW w:type="dxa" w:w="2160"/>
            <w:tcMar>
              <w:top w:w="120" w:type="dxa"/>
              <w:bottom w:w="120" w:type="dxa"/>
              <w:left w:w="140" w:type="dxa"/>
              <w:right w:w="140" w:type="dxa"/>
            </w:tcMar>
          </w:tcPr>
          <w:p>
            <w:pPr>
              <w:spacing w:before="0" w:after="0"/>
            </w:pPr>
            <w:r>
              <w:rPr>
                <w:rFonts w:ascii="Arial" w:hAnsi="Arial"/>
                <w:sz w:val="18"/>
              </w:rPr>
              <w:t>Pixel Perfection</w:t>
            </w:r>
          </w:p>
        </w:tc>
        <w:tc>
          <w:tcPr>
            <w:tcW w:type="dxa" w:w="2016"/>
            <w:tcMar>
              <w:top w:w="120" w:type="dxa"/>
              <w:bottom w:w="120" w:type="dxa"/>
              <w:left w:w="140" w:type="dxa"/>
              <w:right w:w="140" w:type="dxa"/>
            </w:tcMar>
          </w:tcPr>
          <w:p>
            <w:pPr>
              <w:spacing w:before="0" w:after="0"/>
            </w:pPr>
            <w:r>
              <w:rPr>
                <w:rFonts w:ascii="Arial" w:hAnsi="Arial"/>
                <w:sz w:val="18"/>
              </w:rPr>
              <w:t>Pixel Social</w:t>
            </w:r>
          </w:p>
        </w:tc>
        <w:tc>
          <w:tcPr>
            <w:tcW w:type="dxa" w:w="1872"/>
            <w:tcMar>
              <w:top w:w="120" w:type="dxa"/>
              <w:bottom w:w="120" w:type="dxa"/>
              <w:left w:w="140" w:type="dxa"/>
              <w:right w:w="140" w:type="dxa"/>
            </w:tcMar>
          </w:tcPr>
          <w:p>
            <w:pPr>
              <w:spacing w:before="0" w:after="0"/>
            </w:pPr>
            <w:r>
              <w:rPr>
                <w:rFonts w:ascii="Arial" w:hAnsi="Arial"/>
                <w:b/>
                <w:color w:val="1E8449"/>
                <w:sz w:val="18"/>
              </w:rPr>
              <w:t>Approved</w:t>
            </w:r>
          </w:p>
        </w:tc>
        <w:tc>
          <w:tcPr>
            <w:tcW w:type="dxa" w:w="1440"/>
            <w:tcMar>
              <w:top w:w="120" w:type="dxa"/>
              <w:bottom w:w="120" w:type="dxa"/>
              <w:left w:w="140" w:type="dxa"/>
              <w:right w:w="140" w:type="dxa"/>
            </w:tcMar>
          </w:tcPr>
          <w:p>
            <w:pPr>
              <w:spacing w:before="0" w:after="0"/>
            </w:pPr>
            <w:r>
              <w:rPr>
                <w:rFonts w:ascii="Arial" w:hAnsi="Arial"/>
                <w:sz w:val="18"/>
              </w:rPr>
              <w:t>2026-05-20</w:t>
            </w:r>
          </w:p>
        </w:tc>
      </w:tr>
      <w:tr>
        <w:trPr>
          <w:cantSplit/>
        </w:trPr>
        <w:tc>
          <w:tcPr>
            <w:tcW w:type="dxa" w:w="2592"/>
            <w:tcMar>
              <w:top w:w="120" w:type="dxa"/>
              <w:bottom w:w="120" w:type="dxa"/>
              <w:left w:w="140" w:type="dxa"/>
              <w:right w:w="140" w:type="dxa"/>
            </w:tcMar>
            <w:shd w:val="clear" w:color="auto" w:fill="F2F4F4"/>
          </w:tcPr>
          <w:p>
            <w:pPr>
              <w:spacing w:before="0" w:after="0"/>
            </w:pPr>
            <w:r>
              <w:rPr>
                <w:rFonts w:ascii="Arial" w:hAnsi="Arial"/>
                <w:sz w:val="18"/>
              </w:rPr>
              <w:t>LT2026_HERO_MAIN.jpg</w:t>
            </w:r>
          </w:p>
        </w:tc>
        <w:tc>
          <w:tcPr>
            <w:tcW w:type="dxa" w:w="2160"/>
            <w:tcMar>
              <w:top w:w="120" w:type="dxa"/>
              <w:bottom w:w="120" w:type="dxa"/>
              <w:left w:w="140" w:type="dxa"/>
              <w:right w:w="140" w:type="dxa"/>
            </w:tcMar>
            <w:shd w:val="clear" w:color="auto" w:fill="F2F4F4"/>
          </w:tcPr>
          <w:p>
            <w:pPr>
              <w:spacing w:before="0" w:after="0"/>
            </w:pPr>
            <w:r>
              <w:rPr>
                <w:rFonts w:ascii="Arial" w:hAnsi="Arial"/>
                <w:sz w:val="18"/>
              </w:rPr>
              <w:t>Restricted Pipeline</w:t>
            </w:r>
          </w:p>
        </w:tc>
        <w:tc>
          <w:tcPr>
            <w:tcW w:type="dxa" w:w="2016"/>
            <w:tcMar>
              <w:top w:w="120" w:type="dxa"/>
              <w:bottom w:w="120" w:type="dxa"/>
              <w:left w:w="140" w:type="dxa"/>
              <w:right w:w="140" w:type="dxa"/>
            </w:tcMar>
            <w:shd w:val="clear" w:color="auto" w:fill="F2F4F4"/>
          </w:tcPr>
          <w:p>
            <w:pPr>
              <w:spacing w:before="0" w:after="0"/>
            </w:pPr>
            <w:r>
              <w:rPr>
                <w:rFonts w:ascii="Arial" w:hAnsi="Arial"/>
                <w:sz w:val="18"/>
              </w:rPr>
              <w:t>Lantern Tides Showcase</w:t>
            </w:r>
          </w:p>
        </w:tc>
        <w:tc>
          <w:tcPr>
            <w:tcW w:type="dxa" w:w="1872"/>
            <w:tcMar>
              <w:top w:w="120" w:type="dxa"/>
              <w:bottom w:w="120" w:type="dxa"/>
              <w:left w:w="140" w:type="dxa"/>
              <w:right w:w="140" w:type="dxa"/>
            </w:tcMar>
            <w:shd w:val="clear" w:color="auto" w:fill="F2F4F4"/>
          </w:tcPr>
          <w:p>
            <w:pPr>
              <w:spacing w:before="0" w:after="0"/>
            </w:pPr>
            <w:r>
              <w:rPr>
                <w:rFonts w:ascii="Arial" w:hAnsi="Arial"/>
                <w:i/>
                <w:color w:val="D35400"/>
                <w:sz w:val="18"/>
              </w:rPr>
              <w:t>Pending Board Sign-off</w:t>
            </w:r>
          </w:p>
        </w:tc>
        <w:tc>
          <w:tcPr>
            <w:tcW w:type="dxa" w:w="1440"/>
            <w:tcMar>
              <w:top w:w="120" w:type="dxa"/>
              <w:bottom w:w="120" w:type="dxa"/>
              <w:left w:w="140" w:type="dxa"/>
              <w:right w:w="140" w:type="dxa"/>
            </w:tcMar>
            <w:shd w:val="clear" w:color="auto" w:fill="F2F4F4"/>
          </w:tcPr>
          <w:p>
            <w:pPr>
              <w:spacing w:before="0" w:after="0"/>
            </w:pPr>
            <w:r>
              <w:rPr>
                <w:rFonts w:ascii="Arial" w:hAnsi="Arial"/>
                <w:sz w:val="18"/>
              </w:rPr>
              <w:t>Conditional Review</w:t>
            </w:r>
          </w:p>
        </w:tc>
      </w:tr>
    </w:tbl>
    <w:p>
      <w:pPr>
        <w:keepNext/>
        <w:spacing w:before="240" w:after="80"/>
      </w:pPr>
      <w:r>
        <w:rPr>
          <w:rFonts w:ascii="Arial" w:hAnsi="Arial"/>
          <w:b/>
          <w:color w:val="1B4F72"/>
          <w:sz w:val="28"/>
        </w:rPr>
        <w:t>2. Explicit Reviewer Notes &amp; Conditions</w:t>
      </w:r>
    </w:p>
    <w:p>
      <w:pPr>
        <w:pStyle w:val="ListBullet"/>
        <w:spacing w:before="40" w:after="80"/>
        <w:ind w:left="576"/>
      </w:pPr>
      <w:r>
        <w:rPr>
          <w:rFonts w:ascii="Arial" w:hAnsi="Arial"/>
          <w:b/>
          <w:color w:val="2C3E50"/>
          <w:sz w:val="20"/>
        </w:rPr>
        <w:t>Digital Platform Clearance:</w:t>
      </w:r>
      <w:r>
        <w:rPr>
          <w:rFonts w:ascii="Arial" w:hAnsi="Arial"/>
          <w:color w:val="2C3E50"/>
          <w:sz w:val="20"/>
        </w:rPr>
        <w:t xml:space="preserve"> Approved digital collateral components (sRGB web graphics, layouts, and social squares) may be published immediately within personal operational case studies.</w:t>
      </w:r>
    </w:p>
    <w:p>
      <w:pPr>
        <w:pStyle w:val="ListBullet"/>
        <w:spacing w:before="40" w:after="80"/>
        <w:ind w:left="576"/>
      </w:pPr>
      <w:r>
        <w:rPr>
          <w:rFonts w:ascii="Arial" w:hAnsi="Arial"/>
          <w:b/>
          <w:color w:val="2C3E50"/>
          <w:sz w:val="20"/>
        </w:rPr>
        <w:t>Physical &amp; Packaging Framework Restrictions:</w:t>
      </w:r>
      <w:r>
        <w:rPr>
          <w:rFonts w:ascii="Arial" w:hAnsi="Arial"/>
          <w:color w:val="2C3E50"/>
          <w:sz w:val="20"/>
        </w:rPr>
        <w:t xml:space="preserve"> Packaging configurations (e.g., EcoPack Premium structural layouts) are subject to active NDAs. Displaying die-cut blueprints or raw structural production maps remains forbidden until items are deployed live at retail endpoints.</w:t>
      </w:r>
    </w:p>
    <w:p>
      <w:pPr>
        <w:pStyle w:val="ListBullet"/>
        <w:spacing w:before="40" w:after="80"/>
        <w:ind w:left="576"/>
      </w:pPr>
      <w:r>
        <w:rPr>
          <w:rFonts w:ascii="Arial" w:hAnsi="Arial"/>
          <w:b/>
          <w:color w:val="2C3E50"/>
          <w:sz w:val="20"/>
        </w:rPr>
        <w:t>Theatrical Expansion Exceptions:</w:t>
      </w:r>
      <w:r>
        <w:rPr>
          <w:rFonts w:ascii="Arial" w:hAnsi="Arial"/>
          <w:color w:val="2C3E50"/>
          <w:sz w:val="20"/>
        </w:rPr>
        <w:t xml:space="preserve"> The Lantern Tides pipeline remains under extreme embargo. Visual inspection frames generated for this series cannot be uploaded to any shared network or public showcase until formal ministerial or brand board sign-offs are officially attached.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