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E2BE9" w14:textId="77777777" w:rsidR="006B3468" w:rsidRPr="006B3468" w:rsidRDefault="006B3468" w:rsidP="006B3468">
      <w:pPr>
        <w:rPr>
          <w:b/>
          <w:bCs/>
        </w:rPr>
      </w:pPr>
      <w:r w:rsidRPr="006B3468">
        <w:rPr>
          <w:b/>
          <w:bCs/>
        </w:rPr>
        <w:t>Сравнение ГОСТов</w:t>
      </w:r>
    </w:p>
    <w:p w14:paraId="0569BD25" w14:textId="07DCD429" w:rsidR="004853B4" w:rsidRDefault="004853B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2789"/>
        <w:gridCol w:w="2779"/>
        <w:gridCol w:w="2244"/>
      </w:tblGrid>
      <w:tr w:rsidR="006B3468" w:rsidRPr="006B3468" w14:paraId="473BD5E6" w14:textId="77777777" w:rsidTr="006B3468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3A8FB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Группа стандартов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6B052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Что регулирует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745D5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Ключевые документы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EC297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Статус</w:t>
            </w:r>
          </w:p>
        </w:tc>
      </w:tr>
      <w:tr w:rsidR="006B3468" w:rsidRPr="006B3468" w14:paraId="1E5ECB40" w14:textId="77777777" w:rsidTr="006B3468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9B77D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ru-RU"/>
              </w:rPr>
              <w:t xml:space="preserve">ЕСПД (ГОСТ </w:t>
            </w:r>
            <w:hyperlink r:id="rId4" w:tgtFrame="_blank" w:history="1">
              <w:r w:rsidRPr="006B3468">
                <w:rPr>
                  <w:rFonts w:ascii="Segoe UI" w:eastAsia="Times New Roman" w:hAnsi="Segoe UI" w:cs="Segoe UI"/>
                  <w:b/>
                  <w:bCs/>
                  <w:color w:val="000000" w:themeColor="text1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19.xxx</w:t>
              </w:r>
            </w:hyperlink>
            <w:r w:rsidRPr="006B3468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11593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Оформление программной документации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54FBD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ГОСТ 19.701-90 (схемы алгоритмов), ГОСТ 19.402-78 (описание программы), ГОСТ 19.505-79 (руководство оператора), ГОСТ 19.506-79 (руководство программиста)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0ED5C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Национальный</w:t>
            </w:r>
          </w:p>
        </w:tc>
      </w:tr>
      <w:tr w:rsidR="006B3468" w:rsidRPr="006B3468" w14:paraId="15BFB853" w14:textId="77777777" w:rsidTr="006B3468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80E26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ru-RU"/>
              </w:rPr>
              <w:t xml:space="preserve">ГОСТ </w:t>
            </w:r>
            <w:hyperlink r:id="rId5" w:tgtFrame="_blank" w:history="1">
              <w:r w:rsidRPr="006B3468">
                <w:rPr>
                  <w:rFonts w:ascii="Segoe UI" w:eastAsia="Times New Roman" w:hAnsi="Segoe UI" w:cs="Segoe UI"/>
                  <w:b/>
                  <w:bCs/>
                  <w:color w:val="000000" w:themeColor="text1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34.xxx</w:t>
              </w:r>
            </w:hyperlink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38E9E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Автоматизированные системы управления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2E976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ГОСТ 34.602-2020 (ТЗ на АС), ГОСТ 34.601-90 (стадии создания), ГОСТ 34.003-90 (термины), ГОСТ 34.201-89 (виды документов)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33833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Национальный</w:t>
            </w:r>
          </w:p>
        </w:tc>
      </w:tr>
      <w:tr w:rsidR="006B3468" w:rsidRPr="006B3468" w14:paraId="0B17A48D" w14:textId="77777777" w:rsidTr="006B3468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EF9AD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ru-RU"/>
              </w:rPr>
              <w:t>ГОСТ Р ИСО/МЭК 25010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D6487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Модель качества ПО (8 характеристик)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63A21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 xml:space="preserve">Функциональность, надёжность, удобство, безопасность, производительность, </w:t>
            </w:r>
            <w:proofErr w:type="spellStart"/>
            <w:r w:rsidRPr="006B346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сопровождаемость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0C878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Национальный (гармонизирован с ISO)</w:t>
            </w:r>
          </w:p>
        </w:tc>
      </w:tr>
      <w:tr w:rsidR="006B3468" w:rsidRPr="006B3468" w14:paraId="79D2BD2A" w14:textId="77777777" w:rsidTr="006B3468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05991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ru-RU"/>
              </w:rPr>
              <w:t>ГОСТ Р ИСО/МЭК 12207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8C6D2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Процессы жизненного цикла ПО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05A81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От замысла до вывода из эксплуатации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CD636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Национальный</w:t>
            </w:r>
          </w:p>
        </w:tc>
      </w:tr>
      <w:tr w:rsidR="006B3468" w:rsidRPr="006B3468" w14:paraId="26702324" w14:textId="77777777" w:rsidTr="006B3468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FF5A9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ru-RU"/>
              </w:rPr>
              <w:lastRenderedPageBreak/>
              <w:t>ГОСТ Р ИСО/МЭК 27001, 27002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0228C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Информационная безопасность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A19A5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СМИБ (27001), меры и контроли защиты (27002)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69F0B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Добровольный, но доказательная база</w:t>
            </w:r>
          </w:p>
        </w:tc>
      </w:tr>
      <w:tr w:rsidR="006B3468" w:rsidRPr="006B3468" w14:paraId="06DA6FB4" w14:textId="77777777" w:rsidTr="006B3468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0F41F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ru-RU"/>
              </w:rPr>
              <w:t>ГОСТ Р 57580.х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20D26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Безопасность финансовых операций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F3402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57580.1 (требования), 57580.2 (оценка соответствия)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B1C54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Обязателен для банков (требование ЦБ РФ)</w:t>
            </w:r>
          </w:p>
        </w:tc>
      </w:tr>
      <w:tr w:rsidR="006B3468" w:rsidRPr="006B3468" w14:paraId="1357C504" w14:textId="77777777" w:rsidTr="006B3468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BEDD0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ru-RU"/>
              </w:rPr>
              <w:t>ГОСТ Р 34.10/34.11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EF87D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Криптография и ЭП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FA888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34.10-2012 (алгоритм ЭЦП), 34.11-2012 (хэш «Стрибог»)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12A13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Сертифицированы ФСБ</w:t>
            </w:r>
          </w:p>
        </w:tc>
      </w:tr>
      <w:tr w:rsidR="006B3468" w:rsidRPr="006B3468" w14:paraId="422F42DB" w14:textId="77777777" w:rsidTr="006B3468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DE114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ru-RU"/>
              </w:rPr>
              <w:t>ГОСТ Р 34.12-2015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08E11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Блочный шифр «Кузнечик»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7115E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Защита каналов связи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23245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Национальный</w:t>
            </w:r>
          </w:p>
        </w:tc>
      </w:tr>
      <w:tr w:rsidR="006B3468" w:rsidRPr="006B3468" w14:paraId="536B98D1" w14:textId="77777777" w:rsidTr="006B3468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49178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ru-RU"/>
              </w:rPr>
              <w:t>ГОСТ Р 53801-2010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D6E20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Сетевые интерфейсы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6B10B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Общие требования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2D0A7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Национальный</w:t>
            </w:r>
          </w:p>
        </w:tc>
      </w:tr>
      <w:tr w:rsidR="006B3468" w:rsidRPr="006B3468" w14:paraId="26580864" w14:textId="77777777" w:rsidTr="006B3468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27765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eastAsia="ru-RU"/>
              </w:rPr>
              <w:t>ГОСТ Р ИСО/МЭК 8802-х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B45FD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Гармонизированные стандарты IEEE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8F51F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Совместимость сетей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0638D" w14:textId="77777777" w:rsidR="006B3468" w:rsidRPr="006B3468" w:rsidRDefault="006B3468" w:rsidP="006B3468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6B3468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Национальный</w:t>
            </w:r>
          </w:p>
        </w:tc>
      </w:tr>
    </w:tbl>
    <w:p w14:paraId="3DC3D8B3" w14:textId="6AFE338E" w:rsidR="006B3468" w:rsidRDefault="006B3468"/>
    <w:p w14:paraId="350CCF63" w14:textId="477CEC18" w:rsidR="006B3468" w:rsidRDefault="006B3468"/>
    <w:p w14:paraId="1E7A3A79" w14:textId="5222010F" w:rsidR="006B3468" w:rsidRDefault="006B3468"/>
    <w:p w14:paraId="7D8F72C3" w14:textId="531F2CE2" w:rsidR="006B3468" w:rsidRDefault="006B3468">
      <w:r w:rsidRPr="006B3468">
        <w:rPr>
          <w:b/>
          <w:bCs/>
        </w:rPr>
        <w:t>Вывод по ГОСТам:</w:t>
      </w:r>
      <w:r w:rsidRPr="006B3468">
        <w:t xml:space="preserve"> система тр</w:t>
      </w:r>
      <w:r>
        <w:t>е</w:t>
      </w:r>
      <w:r w:rsidRPr="006B3468">
        <w:t xml:space="preserve">хуровневая </w:t>
      </w:r>
      <w:r>
        <w:t>-</w:t>
      </w:r>
      <w:r w:rsidRPr="006B3468">
        <w:t xml:space="preserve"> международные (ISO/IEC), национальные (ГОСТ Р) и ведомственные (приказы ФСТЭК, ФСБ, ЦБ). Добровольные стандарты становятся обязательными через регламенты, контракты и требования регуляторов</w:t>
      </w:r>
    </w:p>
    <w:sectPr w:rsidR="006B34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468"/>
    <w:rsid w:val="004853B4"/>
    <w:rsid w:val="006B3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63555"/>
  <w15:chartTrackingRefBased/>
  <w15:docId w15:val="{BCC866D9-99D6-40BC-BD7F-43B5C2A09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B3468"/>
    <w:rPr>
      <w:b/>
      <w:bCs/>
    </w:rPr>
  </w:style>
  <w:style w:type="character" w:styleId="a4">
    <w:name w:val="Hyperlink"/>
    <w:basedOn w:val="a0"/>
    <w:uiPriority w:val="99"/>
    <w:semiHidden/>
    <w:unhideWhenUsed/>
    <w:rsid w:val="006B346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0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34.xxx/" TargetMode="External"/><Relationship Id="rId4" Type="http://schemas.openxmlformats.org/officeDocument/2006/relationships/hyperlink" Target="https://19.xxx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Vlado</dc:creator>
  <cp:keywords/>
  <dc:description/>
  <cp:lastModifiedBy>Vlado</cp:lastModifiedBy>
  <cp:revision>1</cp:revision>
  <dcterms:created xsi:type="dcterms:W3CDTF">2026-10-05T17:26:00Z</dcterms:created>
  <dcterms:modified xsi:type="dcterms:W3CDTF">2026-10-05T17:28:00Z</dcterms:modified>
</cp:coreProperties>
</file>