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pStyle w:val="Heading1"/>
        <w:spacing w:before="284" w:after="446"/>
        <w:ind w:left="0"/>
        <w:jc w:val="center"/>
      </w:pPr>
      <w:r>
        <w:rPr>
          <w:rStyle w:val="DefaultParagraphFont"/>
          <w:rFonts w:ascii="Times New Roman" w:hAnsi="Times New Roman"/>
          <w:color w:val="000000"/>
        </w:rPr>
        <w:t>FIȘĂ DE IDENTIFICARE ȘI AUTORIZARE INTERNĂ</w:t>
      </w:r>
    </w:p>
    <w:p>
      <w:pPr>
        <w:pStyle w:val="Normal"/>
        <w:spacing w:before="284" w:after="446" w:line="360"/>
        <w:ind w:left="0"/>
        <w:jc w:val="both"/>
      </w:pPr>
      <w:r>
        <w:rPr>
          <w:rStyle w:val="DefaultParagraphFont"/>
          <w:rFonts w:ascii="Times New Roman" w:hAnsi="Times New Roman"/>
          <w:color w:val="000000"/>
        </w:rPr>
        <w:t>Prezentul document este întocmit astăzi și servește ca fișă centralizatoare pentru datele de identificare și autorizare ale angajatului în cadrul departamentului de transport și logistică al societății noastre.</w:t>
      </w:r>
    </w:p>
    <w:p>
      <w:pPr>
        <w:pStyle w:val="Heading3"/>
        <w:spacing w:before="0" w:after="317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I. Date de Identificare Personală</w:t>
      </w:r>
    </w:p>
    <w:p>
      <w:pPr>
        <w:pStyle w:val="Normal"/>
        <w:spacing w:before="284" w:after="446" w:line="360"/>
        <w:ind w:left="0"/>
        <w:jc w:val="both"/>
      </w:pPr>
      <w:r>
        <w:rPr>
          <w:rStyle w:val="DefaultParagraphFont"/>
          <w:rFonts w:ascii="Times New Roman" w:hAnsi="Times New Roman"/>
          <w:color w:val="000000"/>
        </w:rPr>
        <w:t>Persoana vizată prin prezenta fișă este dl./dna. {{ lastName }} {{ firstName }}, cetățean de naționalitate {{ nationality }}, născut(ă) la data de {{ date_of_birth }} în localitatea {{ place_of_birth }}. Identificarea oficială a persoanei se realizează prin intermediul Codului Numeric Personal {{ personal_number }} și al documentului de identitate seria/numărul {{ document_number }}, eliberat de instituția {{ issuing_authority }}. Adresa de contact și domiciliul legal înregistrat sunt {{ address }}.</w:t>
      </w:r>
    </w:p>
    <w:p>
      <w:pPr>
        <w:pStyle w:val="Heading3"/>
        <w:spacing w:before="0" w:after="317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II. Autorizări și Clasificări Profesionale</w:t>
      </w:r>
    </w:p>
    <w:p>
      <w:pPr>
        <w:pStyle w:val="Normal"/>
        <w:spacing w:before="284" w:after="446" w:line="360"/>
        <w:ind w:left="0"/>
        <w:jc w:val="both"/>
      </w:pPr>
      <w:r>
        <w:rPr>
          <w:rStyle w:val="DefaultParagraphFont"/>
          <w:rFonts w:ascii="Times New Roman" w:hAnsi="Times New Roman"/>
          <w:color w:val="000000"/>
        </w:rPr>
        <w:t>În baza verificării documentelor originale depuse la dosarul personal, se confirmă faptul că angajatul deține autorizarea necesară pentru operarea și conducerea vehiculelor încadrate în clasificarea {{ vehicle_classification }}. Aceste drepturi profesionale sunt monitorizate intern sub numărul de referință discriminator {{ document_discriminator }}, asigurându-se astfel trasabilitatea tuturor operațiunilor efectuate în numele societății.</w:t>
      </w:r>
    </w:p>
    <w:p>
      <w:pPr>
        <w:pStyle w:val="Heading3"/>
        <w:spacing w:before="0" w:after="317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III. Valabilitate și Monitorizare Periodicăt</w:t>
      </w:r>
    </w:p>
    <w:p>
      <w:pPr>
        <w:pStyle w:val="Normal"/>
        <w:spacing w:before="284" w:after="446" w:line="360"/>
        <w:ind w:left="0"/>
        <w:jc w:val="both"/>
      </w:pPr>
      <w:r>
        <w:rPr>
          <w:rStyle w:val="DefaultParagraphFont"/>
          <w:rFonts w:ascii="Times New Roman" w:hAnsi="Times New Roman"/>
          <w:color w:val="000000"/>
        </w:rPr>
        <w:t>Valabilitatea curentă a autorizațiilor profesionale și a documentelor de identitate este monitorizată până la data de {{ date_of_expiration }}. Societatea se obligă să asigure instruirea periodică a angajatului, următoarea sesiune de evaluare fiind programată în intervalul stabilit conform procedurilor de siguranță {{ date_interval }}.</w:t>
      </w:r>
    </w:p>
    <w:p>
      <w:pPr>
        <w:pStyle w:val="Normal"/>
        <w:spacing w:before="284" w:after="284" w:line="360"/>
        <w:ind w:left="0"/>
        <w:jc w:val="both"/>
      </w:pPr>
      <w:r>
        <w:rPr>
          <w:rStyle w:val="DefaultParagraphFont"/>
          <w:rFonts w:ascii="Times New Roman" w:hAnsi="Times New Roman"/>
          <w:color w:val="000000"/>
        </w:rPr>
        <w:t>Angajatul confirmă prin luarea la cunoștință faptul că toate datele menționate în prezenta fișă sunt conforme cu realitatea și se obligă să notifice orice modificare a acestora în termen de maxim 48 de ore de la producere.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