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Топор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2DA18899" w:rsidR="00CE74D6" w:rsidRDefault="005B1D52">
      <w:pPr>
        <w:spacing w:line="360" w:lineRule="auto"/>
        <w:jc w:val="center"/>
      </w:pPr>
      <w:r w:rsidRPr="005B1D52">
        <w:rPr>
          <w:noProof/>
        </w:rPr>
        <w:drawing>
          <wp:inline distT="0" distB="0" distL="0" distR="0" wp14:anchorId="29020E28" wp14:editId="13469E1D">
            <wp:extent cx="4556760" cy="2422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158" cy="2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0942D49E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Длина ручки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топора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D52">
        <w:rPr>
          <w:rFonts w:ascii="Times New Roman" w:hAnsi="Times New Roman" w:cs="Times New Roman"/>
          <w:sz w:val="28"/>
          <w:szCs w:val="28"/>
        </w:rPr>
        <w:t>D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больше в 3 раза длинны лезвия</w:t>
      </w:r>
      <w:r w:rsidR="005B4F4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15E51A06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Угол наклона лезвия диапазон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4C19">
        <w:rPr>
          <w:rFonts w:ascii="Times New Roman" w:hAnsi="Times New Roman" w:cs="Times New Roman"/>
          <w:sz w:val="28"/>
          <w:szCs w:val="28"/>
          <w:lang w:val="ru-RU"/>
        </w:rPr>
        <w:t>90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°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6E06A3F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Длинна лезвия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A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от 100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300мм)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0739D4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Длинна обуха </w:t>
      </w:r>
      <w:r w:rsidR="00471DCF">
        <w:rPr>
          <w:rFonts w:ascii="Times New Roman" w:hAnsi="Times New Roman" w:cs="Times New Roman"/>
          <w:sz w:val="28"/>
          <w:szCs w:val="28"/>
        </w:rPr>
        <w:t>B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80% от А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09C73543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Длина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топорища </w:t>
      </w:r>
      <w:r w:rsidR="00471DCF">
        <w:rPr>
          <w:rFonts w:ascii="Times New Roman" w:hAnsi="Times New Roman" w:cs="Times New Roman"/>
          <w:sz w:val="28"/>
          <w:szCs w:val="28"/>
        </w:rPr>
        <w:t>H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(80-150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2AA1D2" w14:textId="50C41499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Ширина рукояти</w:t>
      </w:r>
      <w:r w:rsidR="00B64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DCF">
        <w:rPr>
          <w:rFonts w:ascii="Times New Roman" w:hAnsi="Times New Roman" w:cs="Times New Roman"/>
          <w:sz w:val="28"/>
          <w:szCs w:val="28"/>
        </w:rPr>
        <w:t>M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50% от 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8ED25B" w14:textId="59C164F4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Толщина рукояти </w:t>
      </w:r>
      <w:r w:rsidR="00471DCF">
        <w:rPr>
          <w:rFonts w:ascii="Times New Roman" w:hAnsi="Times New Roman" w:cs="Times New Roman"/>
          <w:sz w:val="28"/>
          <w:szCs w:val="28"/>
        </w:rPr>
        <w:t>F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60% от диаметра отверстия Е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289119" w14:textId="1E455775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 xml:space="preserve"> Ширина топорища </w:t>
      </w:r>
      <w:r w:rsidR="00471DCF">
        <w:rPr>
          <w:rFonts w:ascii="Times New Roman" w:hAnsi="Times New Roman" w:cs="Times New Roman"/>
          <w:sz w:val="28"/>
          <w:szCs w:val="28"/>
        </w:rPr>
        <w:t>E</w:t>
      </w:r>
      <w:r w:rsidR="00471DCF" w:rsidRPr="00471D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03ED9">
        <w:rPr>
          <w:rFonts w:ascii="Times New Roman" w:hAnsi="Times New Roman" w:cs="Times New Roman"/>
          <w:sz w:val="28"/>
          <w:szCs w:val="28"/>
          <w:lang w:val="ru-RU"/>
        </w:rPr>
        <w:t>составляет 30% от длинны обуха В</w:t>
      </w:r>
      <w:r w:rsidR="00471DC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3.2.1 Перечень функций, задач или их комплексов</w:t>
      </w:r>
      <w:bookmarkEnd w:id="23"/>
    </w:p>
    <w:p w14:paraId="1D3F0993" w14:textId="55588911" w:rsidR="00CE74D6" w:rsidRDefault="00F50045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 – это ручной инструмент с лезвием, закрепленным перпендикулярно на рукояти. Он предназначен для рубки дерева, 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2D4F9418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-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3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C17AF4" w:rsidRPr="00084D2F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4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4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5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6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Топор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3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3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0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1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2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3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4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5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Топоры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0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3C909" w14:textId="77777777" w:rsidR="00DB3584" w:rsidRDefault="00DB3584">
      <w:r>
        <w:separator/>
      </w:r>
    </w:p>
  </w:endnote>
  <w:endnote w:type="continuationSeparator" w:id="0">
    <w:p w14:paraId="1682DD96" w14:textId="77777777" w:rsidR="00DB3584" w:rsidRDefault="00DB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57CF" w14:textId="77777777" w:rsidR="00DB3584" w:rsidRDefault="00DB3584">
      <w:r>
        <w:separator/>
      </w:r>
    </w:p>
  </w:footnote>
  <w:footnote w:type="continuationSeparator" w:id="0">
    <w:p w14:paraId="049A3A96" w14:textId="77777777" w:rsidR="00DB3584" w:rsidRDefault="00DB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84D2F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471DCF"/>
    <w:rsid w:val="0050649D"/>
    <w:rsid w:val="00510CAB"/>
    <w:rsid w:val="00565CC6"/>
    <w:rsid w:val="00571EC4"/>
    <w:rsid w:val="005B1D52"/>
    <w:rsid w:val="005B4F45"/>
    <w:rsid w:val="00615C6D"/>
    <w:rsid w:val="00630668"/>
    <w:rsid w:val="007340BA"/>
    <w:rsid w:val="007A4150"/>
    <w:rsid w:val="007C6EA1"/>
    <w:rsid w:val="007F54B1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C17AF4"/>
    <w:rsid w:val="00C406FF"/>
    <w:rsid w:val="00C408AB"/>
    <w:rsid w:val="00C90DD1"/>
    <w:rsid w:val="00CD25D6"/>
    <w:rsid w:val="00CE74D6"/>
    <w:rsid w:val="00CF5D2C"/>
    <w:rsid w:val="00D648FA"/>
    <w:rsid w:val="00DB3584"/>
    <w:rsid w:val="00DB5C40"/>
    <w:rsid w:val="00DC34EE"/>
    <w:rsid w:val="00DD5D98"/>
    <w:rsid w:val="00E16A31"/>
    <w:rsid w:val="00EE03E8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URL:https://pc-net.ru/shop/askon/kompas-bazovye-produkty/kompas-3d-v21/kompas_3d_v21_litsenziya_na_1_kvarta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2877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8</cp:revision>
  <cp:lastPrinted>2024-09-30T07:13:00Z</cp:lastPrinted>
  <dcterms:created xsi:type="dcterms:W3CDTF">2024-10-06T08:22:00Z</dcterms:created>
  <dcterms:modified xsi:type="dcterms:W3CDTF">2024-10-07T05:37:00Z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