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А. Ф. </w:t>
      </w:r>
      <w:proofErr w:type="spellStart"/>
      <w:r w:rsidRPr="00BA305D">
        <w:rPr>
          <w:rFonts w:ascii="Times New Roman" w:hAnsi="Times New Roman" w:cs="Times New Roman"/>
          <w:b/>
          <w:sz w:val="24"/>
          <w:szCs w:val="24"/>
        </w:rPr>
        <w:t>Бузулуцков</w:t>
      </w:r>
      <w:proofErr w:type="spellEnd"/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 xml:space="preserve">Е. С. </w:t>
      </w:r>
      <w:proofErr w:type="spellStart"/>
      <w:r w:rsidR="007C614E" w:rsidRPr="00BA305D">
        <w:rPr>
          <w:rFonts w:ascii="Times New Roman" w:hAnsi="Times New Roman" w:cs="Times New Roman"/>
          <w:b/>
          <w:sz w:val="24"/>
          <w:szCs w:val="24"/>
        </w:rPr>
        <w:t>Гришняев</w:t>
      </w:r>
      <w:proofErr w:type="spellEnd"/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С. В. </w:t>
      </w:r>
      <w:proofErr w:type="spellStart"/>
      <w:r w:rsidR="00006B39" w:rsidRPr="00BA305D">
        <w:rPr>
          <w:rFonts w:ascii="Times New Roman" w:hAnsi="Times New Roman" w:cs="Times New Roman"/>
          <w:b/>
          <w:sz w:val="24"/>
          <w:szCs w:val="24"/>
        </w:rPr>
        <w:t>Полосаткин</w:t>
      </w:r>
      <w:proofErr w:type="spellEnd"/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 xml:space="preserve">Л. И. </w:t>
      </w:r>
      <w:proofErr w:type="spellStart"/>
      <w:r w:rsidR="00F56EBB" w:rsidRPr="00BA305D">
        <w:rPr>
          <w:rFonts w:ascii="Times New Roman" w:hAnsi="Times New Roman" w:cs="Times New Roman"/>
          <w:b/>
          <w:sz w:val="24"/>
          <w:szCs w:val="24"/>
        </w:rPr>
        <w:t>Шехтман</w:t>
      </w:r>
      <w:proofErr w:type="spellEnd"/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 xml:space="preserve">Институт ядерной физики им. Г.И. </w:t>
      </w:r>
      <w:proofErr w:type="spellStart"/>
      <w:r w:rsidRPr="00BA305D">
        <w:rPr>
          <w:rFonts w:ascii="Times New Roman" w:hAnsi="Times New Roman" w:cs="Times New Roman"/>
          <w:sz w:val="24"/>
          <w:szCs w:val="24"/>
        </w:rPr>
        <w:t>Будкера</w:t>
      </w:r>
      <w:proofErr w:type="spellEnd"/>
      <w:r w:rsidRPr="00BA305D">
        <w:rPr>
          <w:rFonts w:ascii="Times New Roman" w:hAnsi="Times New Roman" w:cs="Times New Roman"/>
          <w:sz w:val="24"/>
          <w:szCs w:val="24"/>
        </w:rPr>
        <w:t xml:space="preserve">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</w:t>
      </w:r>
      <w:proofErr w:type="spellEnd"/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bookmarkEnd w:id="0"/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6912C8" w:rsidRPr="00CB0AC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6912C8" w:rsidRPr="00CB0AC2">
        <w:rPr>
          <w:rFonts w:ascii="Times New Roman" w:hAnsi="Times New Roman" w:cs="Times New Roman"/>
          <w:sz w:val="24"/>
          <w:szCs w:val="24"/>
        </w:rPr>
        <w:t>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proofErr w:type="spellStart"/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3A6">
        <w:rPr>
          <w:rFonts w:ascii="Times New Roman" w:hAnsi="Times New Roman" w:cs="Times New Roman"/>
          <w:sz w:val="24"/>
          <w:szCs w:val="24"/>
        </w:rPr>
        <w:t>в жидком</w:t>
      </w:r>
      <w:proofErr w:type="gramEnd"/>
      <w:r w:rsidR="007D7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proofErr w:type="spellStart"/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proofErr w:type="spellStart"/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9176D3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 w:rsidRPr="00C61B53">
        <w:rPr>
          <w:rFonts w:ascii="Times New Roman" w:hAnsi="Times New Roman" w:cs="Times New Roman"/>
          <w:sz w:val="24"/>
          <w:szCs w:val="24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</w:t>
      </w:r>
      <w:r w:rsidR="00162A8E" w:rsidRPr="00162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A8E">
        <w:rPr>
          <w:rFonts w:ascii="Times New Roman" w:eastAsiaTheme="minorEastAsia" w:hAnsi="Times New Roman" w:cs="Times New Roman"/>
          <w:sz w:val="24"/>
          <w:szCs w:val="24"/>
        </w:rPr>
        <w:t>электрон-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9176D3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proofErr w:type="spellEnd"/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9C5434" w:rsidRPr="000730BE">
        <w:rPr>
          <w:rFonts w:ascii="Times New Roman" w:hAnsi="Times New Roman" w:cs="Times New Roman"/>
          <w:sz w:val="24"/>
        </w:rPr>
        <w:t>electron-equivalent</w:t>
      </w:r>
      <w:proofErr w:type="spellEnd"/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proofErr w:type="spellStart"/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</w:t>
      </w:r>
      <w:proofErr w:type="gramStart"/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proofErr w:type="gramEnd"/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lastRenderedPageBreak/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proofErr w:type="spellStart"/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FA601C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proofErr w:type="spellStart"/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358C2">
        <w:rPr>
          <w:rFonts w:ascii="Times New Roman" w:eastAsiaTheme="minorEastAsia" w:hAnsi="Times New Roman" w:cs="Times New Roman"/>
          <w:sz w:val="24"/>
          <w:szCs w:val="24"/>
        </w:rPr>
        <w:t>атм</w:t>
      </w:r>
      <w:proofErr w:type="spellEnd"/>
      <w:r w:rsidR="00E2333A">
        <w:rPr>
          <w:rFonts w:ascii="Times New Roman" w:eastAsiaTheme="minorEastAsia" w:hAnsi="Times New Roman" w:cs="Times New Roman"/>
          <w:sz w:val="24"/>
          <w:szCs w:val="24"/>
        </w:rPr>
        <w:t xml:space="preserve"> (абсолютной)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proofErr w:type="spellEnd"/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proofErr w:type="spellStart"/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</w:t>
      </w:r>
      <w:r w:rsidR="00D31AF4">
        <w:rPr>
          <w:rFonts w:ascii="Times New Roman" w:eastAsiaTheme="minorEastAsia" w:hAnsi="Times New Roman" w:cs="Times New Roman"/>
          <w:sz w:val="24"/>
          <w:szCs w:val="24"/>
        </w:rPr>
        <w:t>смести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о</w:t>
      </w:r>
      <w:proofErr w:type="spellEnd"/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время жизни электронов в жидкости более 100 </w:t>
      </w:r>
      <w:proofErr w:type="spellStart"/>
      <w:r w:rsidR="00A00A3B">
        <w:rPr>
          <w:rFonts w:ascii="Times New Roman" w:eastAsiaTheme="minorEastAsia" w:hAnsi="Times New Roman" w:cs="Times New Roman"/>
          <w:sz w:val="24"/>
          <w:szCs w:val="24"/>
        </w:rPr>
        <w:t>мкс</w:t>
      </w:r>
      <w:proofErr w:type="spellEnd"/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D31AF4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TPB</w:t>
      </w:r>
      <w:r w:rsidR="00D31AF4" w:rsidRPr="00D31A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1AF4">
        <w:rPr>
          <w:rFonts w:ascii="Times New Roman" w:hAnsi="Times New Roman" w:cs="Times New Roman"/>
          <w:sz w:val="24"/>
          <w:szCs w:val="24"/>
          <w:lang w:val="en-US"/>
        </w:rPr>
        <w:t>Tetraphenyl</w:t>
      </w:r>
      <w:proofErr w:type="spellEnd"/>
      <w:r w:rsidR="00D31AF4" w:rsidRPr="00BC6F26">
        <w:rPr>
          <w:rFonts w:ascii="Times New Roman" w:hAnsi="Times New Roman" w:cs="Times New Roman"/>
          <w:sz w:val="24"/>
          <w:szCs w:val="24"/>
        </w:rPr>
        <w:t xml:space="preserve">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butadiene</w:t>
      </w:r>
      <w:r w:rsidR="00D31AF4" w:rsidRPr="00D31AF4">
        <w:rPr>
          <w:rFonts w:ascii="Times New Roman" w:hAnsi="Times New Roman" w:cs="Times New Roman"/>
          <w:sz w:val="24"/>
          <w:szCs w:val="24"/>
        </w:rPr>
        <w:t>)</w:t>
      </w:r>
      <w:r w:rsidR="008A2780">
        <w:rPr>
          <w:rFonts w:ascii="Times New Roman" w:hAnsi="Times New Roman" w:cs="Times New Roman"/>
          <w:sz w:val="24"/>
          <w:szCs w:val="24"/>
        </w:rPr>
        <w:t xml:space="preserve">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proofErr w:type="spellStart"/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</w:t>
      </w:r>
      <w:r w:rsidRPr="003A3B33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два</w:t>
      </w:r>
      <w:r w:rsidR="00BC6F26">
        <w:rPr>
          <w:rFonts w:ascii="Times New Roman" w:hAnsi="Times New Roman" w:cs="Times New Roman"/>
          <w:sz w:val="24"/>
          <w:szCs w:val="24"/>
        </w:rPr>
        <w:t xml:space="preserve"> последовательно расположенных</w:t>
      </w:r>
      <w:r w:rsidR="00DE4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алюминиевых окна</w:t>
      </w:r>
      <w:r w:rsidR="00835AD7">
        <w:rPr>
          <w:rFonts w:ascii="Times New Roman" w:hAnsi="Times New Roman" w:cs="Times New Roman"/>
          <w:sz w:val="24"/>
          <w:szCs w:val="24"/>
        </w:rPr>
        <w:t>, находящихся на дне детектора,</w:t>
      </w:r>
      <w:r>
        <w:rPr>
          <w:rFonts w:ascii="Times New Roman" w:hAnsi="Times New Roman" w:cs="Times New Roman"/>
          <w:sz w:val="24"/>
          <w:szCs w:val="24"/>
        </w:rPr>
        <w:t xml:space="preserve">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 xml:space="preserve">с энергией </w:t>
      </w:r>
      <w:r w:rsidR="00D752B3">
        <w:rPr>
          <w:rFonts w:ascii="Times New Roman" w:hAnsi="Times New Roman" w:cs="Times New Roman"/>
          <w:sz w:val="24"/>
          <w:szCs w:val="24"/>
        </w:rPr>
        <w:lastRenderedPageBreak/>
        <w:t>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proofErr w:type="spellStart"/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</w:t>
      </w:r>
      <w:proofErr w:type="spellStart"/>
      <w:r w:rsidR="005A3526">
        <w:rPr>
          <w:rFonts w:ascii="Times New Roman" w:hAnsi="Times New Roman" w:cs="Times New Roman"/>
          <w:sz w:val="24"/>
          <w:szCs w:val="24"/>
        </w:rPr>
        <w:t>нс</w:t>
      </w:r>
      <w:proofErr w:type="spellEnd"/>
      <w:r w:rsidR="005A3526">
        <w:rPr>
          <w:rFonts w:ascii="Times New Roman" w:hAnsi="Times New Roman" w:cs="Times New Roman"/>
          <w:sz w:val="24"/>
          <w:szCs w:val="24"/>
        </w:rPr>
        <w:t>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</w:t>
      </w:r>
      <w:proofErr w:type="spellStart"/>
      <w:r w:rsidR="00CA659C">
        <w:rPr>
          <w:rFonts w:ascii="Times New Roman" w:hAnsi="Times New Roman" w:cs="Times New Roman"/>
          <w:sz w:val="24"/>
          <w:szCs w:val="24"/>
        </w:rPr>
        <w:t>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</w:t>
      </w:r>
      <w:proofErr w:type="spellEnd"/>
      <w:r w:rsidR="00F17F5B">
        <w:rPr>
          <w:rFonts w:ascii="Times New Roman" w:hAnsi="Times New Roman" w:cs="Times New Roman"/>
          <w:sz w:val="24"/>
          <w:szCs w:val="24"/>
        </w:rPr>
        <w:t>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работающий при 80 </w:t>
      </w:r>
      <w:proofErr w:type="spellStart"/>
      <w:r w:rsidR="00FB799E"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334E0D" w:rsidRDefault="008D2E04" w:rsidP="00334E0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proofErr w:type="spellStart"/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proofErr w:type="spellEnd"/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</w:t>
      </w:r>
      <w:r w:rsidR="00334E0D">
        <w:rPr>
          <w:rFonts w:ascii="Times New Roman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фона амплитудное распределение все еще содержит вклад гамма излучения, связанный с (</w:t>
      </w:r>
      <w:r w:rsidR="00334E0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γ)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Аналогично 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этот фон учитывался путем аппроксимации части спектра линейно спадающей функцией: см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5B0F73" w:rsidRDefault="005B0F73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этих </w:t>
      </w:r>
      <w:r>
        <w:rPr>
          <w:rFonts w:ascii="Times New Roman" w:hAnsi="Times New Roman" w:cs="Times New Roman"/>
          <w:sz w:val="24"/>
          <w:szCs w:val="24"/>
        </w:rPr>
        <w:lastRenderedPageBreak/>
        <w:t>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462F97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</w:t>
      </w:r>
      <w:proofErr w:type="gramStart"/>
      <w:r w:rsidR="008310F7">
        <w:rPr>
          <w:rFonts w:ascii="Times New Roman" w:eastAsiaTheme="minorEastAsia" w:hAnsi="Times New Roman" w:cs="Times New Roman"/>
          <w:sz w:val="24"/>
          <w:szCs w:val="24"/>
        </w:rPr>
        <w:t>в жидком</w:t>
      </w:r>
      <w:proofErr w:type="gramEnd"/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C61B53">
        <w:rPr>
          <w:rFonts w:ascii="Times New Roman" w:eastAsiaTheme="minorEastAsia" w:hAnsi="Times New Roman" w:cs="Times New Roman"/>
          <w:sz w:val="24"/>
          <w:szCs w:val="24"/>
        </w:rPr>
        <w:t>получены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neutron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>) и выключен (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5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674D5E">
        <w:rPr>
          <w:rFonts w:ascii="Times New Roman" w:hAnsi="Times New Roman" w:cs="Times New Roman"/>
          <w:sz w:val="24"/>
          <w:szCs w:val="24"/>
        </w:rPr>
        <w:t xml:space="preserve">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proofErr w:type="spellStart"/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proofErr w:type="spellEnd"/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</w:t>
      </w:r>
      <w:proofErr w:type="gramStart"/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proofErr w:type="gramEnd"/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56 </w:t>
      </w:r>
      <w:proofErr w:type="spellStart"/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62 </w:t>
      </w:r>
      <w:proofErr w:type="spellStart"/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кВ</w:t>
      </w:r>
      <w:proofErr w:type="spellEnd"/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</w:t>
      </w:r>
      <w:proofErr w:type="spellStart"/>
      <w:r w:rsidR="007547F9">
        <w:rPr>
          <w:rFonts w:ascii="Times New Roman" w:hAnsi="Times New Roman" w:cs="Times New Roman"/>
          <w:sz w:val="24"/>
          <w:szCs w:val="24"/>
        </w:rPr>
        <w:t>фитирующей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proofErr w:type="spellStart"/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9176D3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энергиях. Для ионизационного выхода модели Томаса-Имела и </w:t>
      </w:r>
      <w:proofErr w:type="spellStart"/>
      <w:r w:rsidR="004749F5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4749F5">
        <w:rPr>
          <w:rFonts w:ascii="Times New Roman" w:hAnsi="Times New Roman" w:cs="Times New Roman"/>
          <w:sz w:val="24"/>
          <w:szCs w:val="24"/>
        </w:rPr>
        <w:t xml:space="preserve">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="002236A8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2236A8">
        <w:rPr>
          <w:rFonts w:ascii="Times New Roman" w:hAnsi="Times New Roman" w:cs="Times New Roman"/>
          <w:sz w:val="24"/>
          <w:szCs w:val="24"/>
        </w:rPr>
        <w:t xml:space="preserve">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9176D3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proofErr w:type="gramEnd"/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>отери энергии на возбуждение и ионизацию</w:t>
      </w:r>
      <w:proofErr w:type="gramStart"/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</w:t>
      </w:r>
      <w:proofErr w:type="gramEnd"/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>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proofErr w:type="spellStart"/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proofErr w:type="spellStart"/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proofErr w:type="spellStart"/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как доля энергии, 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>переданн</w:t>
      </w:r>
      <w:r w:rsidR="00437280">
        <w:rPr>
          <w:rFonts w:ascii="Times New Roman" w:eastAsiaTheme="minorEastAsia" w:hAnsi="Times New Roman" w:cs="Times New Roman"/>
          <w:sz w:val="24"/>
          <w:szCs w:val="24"/>
        </w:rPr>
        <w:t>ой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на ионизацию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, возбуждение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6C6C2B">
        <w:rPr>
          <w:rFonts w:ascii="Times New Roman" w:eastAsiaTheme="minorEastAsia" w:hAnsi="Times New Roman" w:cs="Times New Roman"/>
          <w:sz w:val="24"/>
          <w:szCs w:val="24"/>
        </w:rPr>
        <w:t xml:space="preserve">кинетическую энергию электронов ниже энергии возбуждения атомов </w:t>
      </w:r>
      <w:r w:rsidR="00220FBA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220FBA">
        <w:rPr>
          <w:rFonts w:ascii="Times New Roman" w:eastAsiaTheme="minorEastAsia" w:hAnsi="Times New Roman" w:cs="Times New Roman"/>
          <w:sz w:val="24"/>
          <w:szCs w:val="24"/>
        </w:rPr>
        <w:t>)</w:t>
      </w:r>
      <w:proofErr w:type="gramStart"/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Η)/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</w:t>
      </w:r>
      <w:proofErr w:type="gramEnd"/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только для электронов отдачи в жидком </w:t>
      </w:r>
      <w:proofErr w:type="spellStart"/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proofErr w:type="spellStart"/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</w:t>
      </w:r>
      <w:proofErr w:type="gramStart"/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</w:t>
      </w:r>
      <w:proofErr w:type="spellStart"/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Яффи</w:t>
      </w:r>
      <w:proofErr w:type="spellEnd"/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proofErr w:type="spellStart"/>
            <w:proofErr w:type="gramStart"/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proofErr w:type="spell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proofErr w:type="gram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proofErr w:type="spellStart"/>
            <w:proofErr w:type="gramStart"/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proofErr w:type="spell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proofErr w:type="gramEnd"/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proofErr w:type="spellEnd"/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9176D3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</w:t>
            </w:r>
            <w:proofErr w:type="gramStart"/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proofErr w:type="gramEnd"/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9176D3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9176D3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кВ</w:t>
      </w:r>
      <w:proofErr w:type="spellEnd"/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lastRenderedPageBreak/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в жидком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proofErr w:type="spellEnd"/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proofErr w:type="spellEnd"/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proofErr w:type="spellEnd"/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proofErr w:type="spellStart"/>
      <w:r w:rsidRPr="001374AA">
        <w:rPr>
          <w:rFonts w:ascii="Times New Roman" w:hAnsi="Times New Roman" w:cs="Times New Roman"/>
          <w:sz w:val="24"/>
          <w:szCs w:val="24"/>
        </w:rPr>
        <w:t>Яффи</w:t>
      </w:r>
      <w:proofErr w:type="spellEnd"/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="001121A9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proofErr w:type="spellStart"/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327DF2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proofErr w:type="spellStart"/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proofErr w:type="spellEnd"/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proofErr w:type="spellStart"/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proofErr w:type="spellEnd"/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A28">
        <w:rPr>
          <w:rFonts w:ascii="Times New Roman" w:hAnsi="Times New Roman" w:cs="Times New Roman"/>
          <w:sz w:val="24"/>
          <w:szCs w:val="24"/>
        </w:rPr>
        <w:t>аппроксированы</w:t>
      </w:r>
      <w:proofErr w:type="spellEnd"/>
      <w:r w:rsidR="002C7A28">
        <w:rPr>
          <w:rFonts w:ascii="Times New Roman" w:hAnsi="Times New Roman" w:cs="Times New Roman"/>
          <w:sz w:val="24"/>
          <w:szCs w:val="24"/>
        </w:rPr>
        <w:t xml:space="preserve">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proofErr w:type="spellStart"/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proofErr w:type="spellStart"/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62 </w:t>
      </w:r>
      <w:proofErr w:type="spellStart"/>
      <w:r w:rsidR="003C2A91">
        <w:rPr>
          <w:rFonts w:ascii="Times New Roman" w:hAnsi="Times New Roman" w:cs="Times New Roman"/>
          <w:sz w:val="24"/>
          <w:szCs w:val="24"/>
        </w:rPr>
        <w:t>кВ</w:t>
      </w:r>
      <w:proofErr w:type="spellEnd"/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176F7">
        <w:rPr>
          <w:rFonts w:ascii="Times New Roman" w:hAnsi="Times New Roman" w:cs="Times New Roman"/>
          <w:sz w:val="24"/>
          <w:szCs w:val="24"/>
        </w:rPr>
        <w:t>в жидком</w:t>
      </w:r>
      <w:proofErr w:type="gramEnd"/>
      <w:r w:rsidR="00F17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proofErr w:type="spellEnd"/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proofErr w:type="spellEnd"/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Scintillation efficiency and ionization yield of liquid xenon for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monoenergetic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nuclear recoils down to 4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keV</w:t>
      </w:r>
      <w:proofErr w:type="spellEnd"/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Nuclear recoil scintillation and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proofErr w:type="spellEnd"/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proofErr w:type="spellEnd"/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="009B066D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9B066D" w:rsidRPr="001A05FC">
        <w:rPr>
          <w:rFonts w:ascii="Times New Roman" w:hAnsi="Times New Roman" w:cs="Times New Roman"/>
          <w:sz w:val="24"/>
          <w:szCs w:val="24"/>
        </w:rPr>
        <w:t>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Полосаткин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 xml:space="preserve">Определение выхода титановой </w:t>
      </w:r>
      <w:proofErr w:type="spellStart"/>
      <w:r w:rsidR="00262428" w:rsidRPr="001A05FC">
        <w:rPr>
          <w:rFonts w:ascii="Times New Roman" w:hAnsi="Times New Roman" w:cs="Times New Roman"/>
          <w:sz w:val="24"/>
          <w:szCs w:val="24"/>
        </w:rPr>
        <w:t>нейтронообразующей</w:t>
      </w:r>
      <w:proofErr w:type="spellEnd"/>
      <w:r w:rsidR="00262428" w:rsidRPr="001A05FC">
        <w:rPr>
          <w:rFonts w:ascii="Times New Roman" w:hAnsi="Times New Roman" w:cs="Times New Roman"/>
          <w:sz w:val="24"/>
          <w:szCs w:val="24"/>
        </w:rPr>
        <w:t xml:space="preserve">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D86"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Polosatkin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Instr</w:t>
      </w:r>
      <w:proofErr w:type="spellEnd"/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</w:rPr>
        <w:t>Гришняев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</w:rPr>
        <w:t xml:space="preserve">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Новосиб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 xml:space="preserve">. гос. ун-та. Серия: Физика. 2013. Т. 8, </w:t>
      </w:r>
      <w:proofErr w:type="spellStart"/>
      <w:r w:rsidRPr="001A05FC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1A05FC">
        <w:rPr>
          <w:rFonts w:ascii="Times New Roman" w:hAnsi="Times New Roman" w:cs="Times New Roman"/>
          <w:sz w:val="24"/>
          <w:szCs w:val="24"/>
        </w:rPr>
        <w:t>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Imel</w:t>
      </w:r>
      <w:proofErr w:type="spellEnd"/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Zur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Theorie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der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Ionisation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Kolonnen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proofErr w:type="spellEnd"/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ArgoNeuT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Pergamon</w:t>
      </w:r>
      <w:proofErr w:type="spellEnd"/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</w:t>
      </w:r>
      <w:proofErr w:type="spellEnd"/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</w:t>
      </w:r>
      <w:proofErr w:type="spellStart"/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Verlag</w:t>
      </w:r>
      <w:proofErr w:type="spellEnd"/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</w:t>
      </w:r>
      <w:proofErr w:type="spellStart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keV</w:t>
      </w:r>
      <w:proofErr w:type="spellEnd"/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>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</w:t>
      </w:r>
      <w:proofErr w:type="spellEnd"/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</w:t>
      </w:r>
      <w:proofErr w:type="spellEnd"/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</w:t>
      </w:r>
      <w:proofErr w:type="spellStart"/>
      <w:r w:rsidRPr="001A05FC">
        <w:rPr>
          <w:rFonts w:ascii="Times New Roman" w:hAnsi="Times New Roman" w:cs="Times New Roman"/>
          <w:sz w:val="24"/>
          <w:szCs w:val="24"/>
          <w:lang w:val="en-US"/>
        </w:rPr>
        <w:t>Nucl</w:t>
      </w:r>
      <w:proofErr w:type="spellEnd"/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  <w:proofErr w:type="spellEnd"/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4A82">
        <w:rPr>
          <w:rFonts w:ascii="Times New Roman" w:hAnsi="Times New Roman" w:cs="Times New Roman"/>
          <w:sz w:val="24"/>
          <w:szCs w:val="24"/>
          <w:lang w:val="en-US"/>
        </w:rPr>
        <w:t>is related</w:t>
      </w:r>
      <w:proofErr w:type="gramEnd"/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in liquid argon </w:t>
      </w:r>
      <w:proofErr w:type="gramStart"/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have been measured</w:t>
      </w:r>
      <w:proofErr w:type="gramEnd"/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proofErr w:type="spellEnd"/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footerReference w:type="default" r:id="rId16"/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6D3" w:rsidRDefault="009176D3" w:rsidP="00974C1A">
      <w:pPr>
        <w:spacing w:after="0" w:line="240" w:lineRule="auto"/>
      </w:pPr>
      <w:r>
        <w:separator/>
      </w:r>
    </w:p>
  </w:endnote>
  <w:endnote w:type="continuationSeparator" w:id="0">
    <w:p w:rsidR="009176D3" w:rsidRDefault="009176D3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844508"/>
      <w:docPartObj>
        <w:docPartGallery w:val="Page Numbers (Bottom of Page)"/>
        <w:docPartUnique/>
      </w:docPartObj>
    </w:sdtPr>
    <w:sdtContent>
      <w:p w:rsidR="000911CB" w:rsidRDefault="000911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DE0">
          <w:rPr>
            <w:noProof/>
          </w:rPr>
          <w:t>12</w:t>
        </w:r>
        <w:r>
          <w:fldChar w:fldCharType="end"/>
        </w:r>
      </w:p>
    </w:sdtContent>
  </w:sdt>
  <w:p w:rsidR="000911CB" w:rsidRDefault="000911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6D3" w:rsidRDefault="009176D3" w:rsidP="00974C1A">
      <w:pPr>
        <w:spacing w:after="0" w:line="240" w:lineRule="auto"/>
      </w:pPr>
      <w:r>
        <w:separator/>
      </w:r>
    </w:p>
  </w:footnote>
  <w:footnote w:type="continuationSeparator" w:id="0">
    <w:p w:rsidR="009176D3" w:rsidRDefault="009176D3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11CB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3E0D"/>
    <w:rsid w:val="001471EF"/>
    <w:rsid w:val="00147358"/>
    <w:rsid w:val="00151A3C"/>
    <w:rsid w:val="00152422"/>
    <w:rsid w:val="00153AF7"/>
    <w:rsid w:val="00156912"/>
    <w:rsid w:val="00157789"/>
    <w:rsid w:val="00162A8E"/>
    <w:rsid w:val="00166636"/>
    <w:rsid w:val="001677FB"/>
    <w:rsid w:val="001734C4"/>
    <w:rsid w:val="00173BB7"/>
    <w:rsid w:val="00174756"/>
    <w:rsid w:val="00183AF5"/>
    <w:rsid w:val="00186416"/>
    <w:rsid w:val="0019094B"/>
    <w:rsid w:val="001912D8"/>
    <w:rsid w:val="001923FE"/>
    <w:rsid w:val="001943AB"/>
    <w:rsid w:val="00194672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0FBA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39C4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4E0D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0DE0"/>
    <w:rsid w:val="003922EF"/>
    <w:rsid w:val="003924D0"/>
    <w:rsid w:val="00393969"/>
    <w:rsid w:val="003A3B33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28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C6C2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30CA"/>
    <w:rsid w:val="00767BA7"/>
    <w:rsid w:val="00770030"/>
    <w:rsid w:val="00771449"/>
    <w:rsid w:val="007808F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35AD7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B44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6D3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0600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52B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47195"/>
    <w:rsid w:val="00A54187"/>
    <w:rsid w:val="00A55E19"/>
    <w:rsid w:val="00A56673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2951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C6F26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1B53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AF4"/>
    <w:rsid w:val="00D31D31"/>
    <w:rsid w:val="00D328CB"/>
    <w:rsid w:val="00D34CB6"/>
    <w:rsid w:val="00D35002"/>
    <w:rsid w:val="00D354FE"/>
    <w:rsid w:val="00D42A50"/>
    <w:rsid w:val="00D443EE"/>
    <w:rsid w:val="00D45785"/>
    <w:rsid w:val="00D477A9"/>
    <w:rsid w:val="00D55D47"/>
    <w:rsid w:val="00D606E5"/>
    <w:rsid w:val="00D70ACB"/>
    <w:rsid w:val="00D752B3"/>
    <w:rsid w:val="00D75CE6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4C9C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333A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5C9F"/>
    <w:rsid w:val="00F06E2E"/>
    <w:rsid w:val="00F1014D"/>
    <w:rsid w:val="00F12B04"/>
    <w:rsid w:val="00F176F7"/>
    <w:rsid w:val="00F17F5B"/>
    <w:rsid w:val="00F21672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4445"/>
    <w:rsid w:val="00FA601C"/>
    <w:rsid w:val="00FB1026"/>
    <w:rsid w:val="00FB3D23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E67AE-E5CB-4879-A6F3-3CEC2827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</TotalTime>
  <Pages>1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880</cp:revision>
  <cp:lastPrinted>2017-07-05T10:09:00Z</cp:lastPrinted>
  <dcterms:created xsi:type="dcterms:W3CDTF">2017-05-18T09:29:00Z</dcterms:created>
  <dcterms:modified xsi:type="dcterms:W3CDTF">2017-07-05T11:44:00Z</dcterms:modified>
</cp:coreProperties>
</file>