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Міністерство освіти і науки України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after="0"/>
        <w:ind/>
        <w:jc w:val="center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Національний університет «Запорізька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after="0"/>
        <w:ind/>
        <w:jc w:val="center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політехніка»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програмних засобів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Звіт</w:t>
      </w:r>
      <w:r/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лабораторної роботи №4</w:t>
      </w:r>
      <w:r/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Вебпрограмування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/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:</w:t>
      </w:r>
      <w:r/>
      <w:r/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ОСНОВИ РОБОТИ З БІБЛІОТЕКОЮ REACT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ст. гр. КНТ – 223</w:t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Гайлунь 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0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Запоріжжя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отримання базових навичок роботи з бібліотекою</w:t>
      </w:r>
      <w:r/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React, призначеної для побудови складних інтерфейсів, що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масштабуються та реконфігуруються.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Приклад роботи: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/>
        <w:ind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164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809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341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3.1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Код знаходиться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github 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а посиланням: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hyperlink r:id="rId9" w:tooltip="https://github.com/Vlad156763/4SWeb.git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https://github.com/Vlad156763/4SWeb.git</w:t>
        </w:r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Висновок: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отримав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базов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навичок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роботи з бібліотекою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React, призначеної для побудови складних інтерфейсів, що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масштабуються та реконфігуруються.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Контрольні питання: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1. Призначення бібліотеки React.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Створення інтерфейсів користувача на основі компонентів.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2. Роль бібліотеки React в архітектурному шаблоні MVC.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React реалізує View у шаблоні MVC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3. Дати визначення компонентів в React.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незалежні, багаторазові частини UI з власною логікою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4. Життєвий цикл компонентів React.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mounting, updating, unmounting — кожен має свої методи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5. Сформулювати визначення стану компонента React.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це обʼєкт з даними, які визначають поведінку і вигляд компонента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6. Призначення і коротка характеристика файлу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package.json.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package.json описує проект, його залежності, скрипти, метаінформацію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7. Призначення бібліотеки Bootstrap.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бібліотека для швидкого створення адаптивного інтерфейсу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8. Доцільність використання системи контролю версій Git.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дозволяє відстежувати зміни, працювати в команді, повертатись до попередніх версій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9. Призначення компілятора Babel.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компілює сучасний 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у сумісний зі старими браузерами код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10. Призначення і аргументи методу render.</w:t>
      </w:r>
      <w:r/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метод ReactDOM, який вставляє компонент у DOM.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uk-UA"/>
        </w:rPr>
        <w:t xml:space="preserve"> Аргумети (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element, container)</w:t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github.com/Vlad156763/4SWeb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2025-06-15T09:18:06Z</dcterms:modified>
</cp:coreProperties>
</file>