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Список использованных источников</w:t>
      </w:r>
    </w:p>
    <w:p>
      <w:pPr>
        <w:ind w:firstLine="708"/>
        <w:spacing w:after="120" w:line="360" w:lineRule="auto"/>
        <w:jc w:val="both"/>
      </w:pPr>
      <w:r>
        <w:t>Список использованных источников сформирован по материалам, использованным при подготовке аналитического, проектного и технологического разделов выпускной квалификационной работы. Электронные ресурсы приведены с датой обращения 26.04.2026.</w:t>
      </w:r>
    </w:p>
    <w:p>
      <w:pPr>
        <w:ind w:left="708" w:hanging="708"/>
        <w:spacing w:after="120" w:line="360" w:lineRule="auto"/>
        <w:jc w:val="both"/>
      </w:pPr>
      <w:r>
        <w:t>1. Соловьев Н.А. Выпускная квалификационная работа бакалавра: методические рекомендации / Н.А. Соловьев. – Оренбург: ОГУ, 2014. – 105 с.</w:t>
      </w:r>
    </w:p>
    <w:p>
      <w:pPr>
        <w:ind w:left="708" w:hanging="708"/>
        <w:spacing w:after="120" w:line="360" w:lineRule="auto"/>
        <w:jc w:val="both"/>
      </w:pPr>
      <w:r>
        <w:t>2. ГОСТ 19.701-90. Единая система программной документации. Схемы алгоритмов, программ, данных и систем. Обозначения условные и правила выполнения. – Москва: Издательство стандартов, 1991.</w:t>
      </w:r>
    </w:p>
    <w:p>
      <w:pPr>
        <w:ind w:left="708" w:hanging="708"/>
        <w:spacing w:after="120" w:line="360" w:lineRule="auto"/>
        <w:jc w:val="both"/>
      </w:pPr>
      <w:r>
        <w:t>3. ГОСТ 19.503-79. Единая система программной документации. Руководство системного программиста. Требования к содержанию и оформлению. – Москва: Издательство стандартов, 1979.</w:t>
      </w:r>
    </w:p>
    <w:p>
      <w:pPr>
        <w:ind w:left="708" w:hanging="708"/>
        <w:spacing w:after="120" w:line="360" w:lineRule="auto"/>
        <w:jc w:val="both"/>
      </w:pPr>
      <w:r>
        <w:t>4. ГОСТ 19.504-79. Единая система программной документации. Руководство программиста. Требования к содержанию и оформлению. – Москва: Издательство стандартов, 1979.</w:t>
      </w:r>
    </w:p>
    <w:p>
      <w:pPr>
        <w:ind w:left="708" w:hanging="708"/>
        <w:spacing w:after="120" w:line="360" w:lineRule="auto"/>
        <w:jc w:val="both"/>
      </w:pPr>
      <w:r>
        <w:t>5. ГОСТ 19.505-79. Единая система программной документации. Руководство оператора. Требования к содержанию и оформлению. – Москва: Издательство стандартов, 1979.</w:t>
      </w:r>
    </w:p>
    <w:p>
      <w:pPr>
        <w:ind w:left="708" w:hanging="708"/>
        <w:spacing w:after="120" w:line="360" w:lineRule="auto"/>
        <w:jc w:val="both"/>
      </w:pPr>
      <w:r>
        <w:t>6. Zadeh L.A. Fuzzy Sets // Information and Control. – 1965. – Vol. 8, № 3. – P. 338–353.</w:t>
      </w:r>
    </w:p>
    <w:p>
      <w:pPr>
        <w:ind w:left="708" w:hanging="708"/>
        <w:spacing w:after="120" w:line="360" w:lineRule="auto"/>
        <w:jc w:val="both"/>
      </w:pPr>
      <w:r>
        <w:t>7. Mamdani E.H., Assilian S. An experiment in linguistic synthesis with a fuzzy logic controller // International Journal of Man-Machine Studies. – 1975. – Vol. 7, № 1. – P. 1–13.</w:t>
      </w:r>
    </w:p>
    <w:p>
      <w:pPr>
        <w:ind w:left="708" w:hanging="708"/>
        <w:spacing w:after="120" w:line="360" w:lineRule="auto"/>
        <w:jc w:val="both"/>
      </w:pPr>
      <w:r>
        <w:t>8. Борисов А.Н., Алексеев А.В., Меркурьева Г.В. Обработка нечеткой информации в системах принятия решений. – Москва: Радио и связь, 1989. – 304 с.</w:t>
      </w:r>
    </w:p>
    <w:p>
      <w:pPr>
        <w:ind w:left="708" w:hanging="708"/>
        <w:spacing w:after="120" w:line="360" w:lineRule="auto"/>
        <w:jc w:val="both"/>
      </w:pPr>
      <w:r>
        <w:t>9. Леоненков А.В. Нечеткое моделирование в среде MATLAB и fuzzyTECH. – Санкт-Петербург: БХВ-Петербург, 2005. – 736 с.</w:t>
      </w:r>
    </w:p>
    <w:p>
      <w:pPr>
        <w:ind w:left="708" w:hanging="708"/>
        <w:spacing w:after="120" w:line="360" w:lineRule="auto"/>
        <w:jc w:val="both"/>
      </w:pPr>
      <w:r>
        <w:t>10. Кофман А. Введение в теорию нечетких множеств. – Москва: Радио и связь, 1982. – 432 с.</w:t>
      </w:r>
    </w:p>
    <w:p>
      <w:pPr>
        <w:ind w:left="708" w:hanging="708"/>
        <w:spacing w:after="120" w:line="360" w:lineRule="auto"/>
        <w:jc w:val="both"/>
      </w:pPr>
      <w:r>
        <w:t>11. PostgreSQL Documentation [Электронный ресурс]. – URL: https://www.postgresql.org/docs/current/index.html (дата обращения: 26.04.2026).</w:t>
      </w:r>
    </w:p>
    <w:p>
      <w:pPr>
        <w:ind w:left="708" w:hanging="708"/>
        <w:spacing w:after="120" w:line="360" w:lineRule="auto"/>
        <w:jc w:val="both"/>
      </w:pPr>
      <w:r>
        <w:t>12. Prisma ORM Documentation [Электронный ресурс]. – URL: https://www.prisma.io/docs/orm/ (дата обращения: 26.04.2026).</w:t>
      </w:r>
    </w:p>
    <w:p>
      <w:pPr>
        <w:ind w:left="708" w:hanging="708"/>
        <w:spacing w:after="120" w:line="360" w:lineRule="auto"/>
        <w:jc w:val="both"/>
      </w:pPr>
      <w:r>
        <w:t>13. Node.js Documentation [Электронный ресурс]. – URL: https://nodejs.org/api/documentation.html (дата обращения: 26.04.2026).</w:t>
      </w:r>
    </w:p>
    <w:p>
      <w:pPr>
        <w:ind w:left="708" w:hanging="708"/>
        <w:spacing w:after="120" w:line="360" w:lineRule="auto"/>
        <w:jc w:val="both"/>
      </w:pPr>
      <w:r>
        <w:t>14. Express. Node.js web application framework [Электронный ресурс]. – URL: https://expressjs.com/ (дата обращения: 26.04.2026).</w:t>
      </w:r>
    </w:p>
    <w:p>
      <w:pPr>
        <w:ind w:left="708" w:hanging="708"/>
        <w:spacing w:after="120" w:line="360" w:lineRule="auto"/>
        <w:jc w:val="both"/>
      </w:pPr>
      <w:r>
        <w:t>15. Express 4.x API Reference [Электронный ресурс]. – URL: https://expressjs.com/en/4x/api.html (дата обращения: 26.04.2026).</w:t>
      </w:r>
    </w:p>
    <w:p>
      <w:pPr>
        <w:ind w:left="708" w:hanging="708"/>
        <w:spacing w:after="120" w:line="360" w:lineRule="auto"/>
        <w:jc w:val="both"/>
      </w:pPr>
      <w:r>
        <w:t>16. TypeScript Documentation [Электронный ресурс]. – URL: https://www.typescriptlang.org/docs/ (дата обращения: 26.04.2026).</w:t>
      </w:r>
    </w:p>
    <w:p>
      <w:pPr>
        <w:ind w:left="708" w:hanging="708"/>
        <w:spacing w:after="120" w:line="360" w:lineRule="auto"/>
        <w:jc w:val="both"/>
      </w:pPr>
      <w:r>
        <w:t>17. React Documentation [Электронный ресурс]. – URL: https://react.dev/ (дата обращения: 26.04.2026).</w:t>
      </w:r>
    </w:p>
    <w:p>
      <w:pPr>
        <w:ind w:left="708" w:hanging="708"/>
        <w:spacing w:after="120" w:line="360" w:lineRule="auto"/>
        <w:jc w:val="both"/>
      </w:pPr>
      <w:r>
        <w:t>18. Next.js Documentation [Электронный ресурс]. – URL: https://nextjs.org/docs (дата обращения: 26.04.2026).</w:t>
      </w:r>
    </w:p>
    <w:p>
      <w:pPr>
        <w:ind w:left="708" w:hanging="708"/>
        <w:spacing w:after="120" w:line="360" w:lineRule="auto"/>
        <w:jc w:val="both"/>
      </w:pPr>
      <w:r>
        <w:t>19. Tailwind CSS Documentation [Электронный ресурс]. – URL: https://tailwindcss.com/docs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20. Zod Documentation [Электронный ресурс]. – URL: https://zod.dev/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21. Кинопоиск. Навигатор по лучшим фильмам [Электронный ресурс]. – URL: https://www.kinopoisk.ru/top/navigator/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22. Иви. Описание сервиса и возможностей подписки [Электронный ресурс]. – URL: https://www.ivi.ru/pages/tutorial/index.html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23. Иви. Описание продуктовых функций персонального подбора [Электронный ресурс]. – URL: https://www.ivi.ru/pages/newseason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24. Okko. Okko подберет фильм по настроению [Электронный ресурс]. – URL: https://blog.okko.tv/news/okko-podberet-film-po-nastroeniyu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25. Okko Analytics. Команды «Рекомендации» и «Поиск» [Электронный ресурс]. – URL: https://analytics.okko.tv/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26. Netflix Help Center. How Netflix’s Recommendations System Works [Электронный ресурс]. – URL: https://help.netflix.com/en/node/100639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27. MDN Web Docs. HTTP [Электронный ресурс]. – URL: https://developer.mozilla.org/en-US/docs/Web/HTTP (дата обращения: 26.04.2026).</w:t>
      </w:r>
    </w:p>
    <w:p>
      <w:pPr>
        <w:ind w:left="708" w:hanging="708"/>
        <w:spacing w:after="120" w:line="360" w:lineRule="auto"/>
        <w:jc w:val="both"/>
      </w:pPr>
      <w:r>
        <w:t>28. MDN Web Docs. JavaScript [Электронный ресурс]. – URL: https://developer.mozilla.org/en-US/docs/Web/JavaScript (дата обращения: 26.04.2026).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использованных источников FilmSense</dc:title>
  <dc:creator>Codex</dc:creator>
  <cp:lastModifiedBy>Codex</cp:lastModifiedBy>
</cp:coreProperties>
</file>