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ind w:firstLine="0"/>
        <w:jc w:val="center"/>
      </w:pPr>
      <w:r>
        <w:rPr>
          <w:b/>
          <w:color w:val="0E527C"/>
          <w:sz w:val="72"/>
        </w:rPr>
        <w:t>PulmoAI</w:t>
      </w:r>
    </w:p>
    <w:p>
      <w:pPr>
        <w:spacing w:after="600"/>
        <w:ind w:firstLine="0"/>
        <w:jc w:val="center"/>
      </w:pPr>
      <w:r>
        <w:rPr>
          <w:sz w:val="32"/>
        </w:rPr>
        <w:t>Виявлення ознак пневмонії на рентгенограмах органів грудної клітки засобами згорткових нейронних мереж</w:t>
      </w:r>
    </w:p>
    <w:p>
      <w:pPr>
        <w:spacing w:after="80"/>
        <w:ind w:firstLine="0"/>
        <w:jc w:val="center"/>
      </w:pPr>
      <w:r>
        <w:rPr>
          <w:i/>
          <w:sz w:val="28"/>
        </w:rPr>
        <w:t>Матеріали до магістерської роботи</w:t>
      </w:r>
    </w:p>
    <w:p>
      <w:pPr>
        <w:spacing w:after="80"/>
        <w:ind w:firstLine="0"/>
        <w:jc w:val="center"/>
      </w:pPr>
      <w:r>
        <w:rPr>
          <w:i/>
          <w:sz w:val="28"/>
        </w:rPr>
        <w:t>Технічний звіт про виконані етапи</w:t>
      </w:r>
    </w:p>
    <w:p>
      <w:pPr>
        <w:spacing w:before="1200"/>
        <w:ind w:firstLine="0"/>
        <w:jc w:val="center"/>
      </w:pPr>
      <w:r>
        <w:rPr>
          <w:sz w:val="24"/>
        </w:rPr>
        <w:t>Набір даних: RSNA Pneumonia Detection Challenge 2018 (adjudicated annotations)</w:t>
        <w:br/>
        <w:t>Модель: власна згорткова мережа PulmoNet-7M</w:t>
        <w:br/>
        <w:t>Мобільний застосунок: Flutter (Material 3)</w:t>
      </w:r>
    </w:p>
    <w:p>
      <w:r>
        <w:br w:type="page"/>
      </w:r>
    </w:p>
    <w:p>
      <w:pPr>
        <w:pStyle w:val="Heading1"/>
      </w:pPr>
      <w:r>
        <w:t>Зміст</w:t>
      </w:r>
    </w:p>
    <w:p>
      <w:pPr>
        <w:ind w:firstLine="0"/>
      </w:pPr>
      <w:r>
        <w:fldChar w:fldCharType="begin"/>
        <w:instrText xml:space="preserve"> TOC \o "1-2" \h \z \u </w:instrText>
        <w:fldChar w:fldCharType="separate"/>
        <w:t>...</w:t>
        <w:fldChar w:fldCharType="end"/>
      </w:r>
    </w:p>
    <w:p>
      <w:pPr>
        <w:spacing w:before="40" w:after="200" w:line="240" w:lineRule="auto"/>
        <w:ind w:firstLine="0"/>
      </w:pPr>
      <w:r>
        <w:rPr>
          <w:i/>
          <w:sz w:val="22"/>
        </w:rPr>
        <w:t>Щоб оновити зміст у Word: виділити його та натиснути F9 (або ПКМ → «Оновити поле» → «Оновити цілком»).</w:t>
      </w:r>
    </w:p>
    <w:p>
      <w:r>
        <w:br w:type="page"/>
      </w:r>
    </w:p>
    <w:p>
      <w:pPr>
        <w:pStyle w:val="Heading1"/>
      </w:pPr>
      <w:r>
        <w:t>1. Мета та постановка задачі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Метою роботи є розроблення програмного комплексу PulmoAI, який виконує автоматизований аналіз рентгенограм органів грудної клітки та визначає наявність ділянок затемнення легеневої тканини (Lung Opacity), що є радіологічною ознакою, асоційованою з пневмонією. Комплекс складається з двох частин: дослідницької (підготовка даних, проєктування та навчання нейронної мережі) і прикладної (мобільний застосунок для перегляду результатів аналізу).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Задача сформульована як бінарна класифікація зображення. Позитивний клас — Lung Opacity; негативний клас об’єднує Normal та No Lung Opacity / Not Normal. Друга з негативних категорій позначає рентгенограми з відхиленнями, які не є затемненням легеневої тканини; збереження їх саме як негативних робить задачу змістовною: модель має відрізняти цільову ознаку від іншої патології, а не просто «норму» від «не норми».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Робота має інженерний характер. Усі кількісні твердження в цьому документі стосуються властивостей набору даних, архітектури та обчислювальних характеристик; жодних тверджень щодо діагностичної точності не робиться до отримання результатів на тестовій вибірці.</w:t>
      </w:r>
    </w:p>
    <w:p>
      <w:pPr>
        <w:pStyle w:val="Heading2"/>
      </w:pPr>
      <w:r>
        <w:t>1.1. Задачі, виконані на поточний момент</w:t>
      </w:r>
    </w:p>
    <w:p>
      <w:pPr>
        <w:pStyle w:val="ListNumber"/>
      </w:pPr>
      <w:r>
        <w:t>аналіз структури локального набору даних та зв’язку розмітки з файлами DICOM;</w:t>
      </w:r>
    </w:p>
    <w:p>
      <w:pPr>
        <w:pStyle w:val="ListNumber"/>
      </w:pPr>
      <w:r>
        <w:t>побудова відтворюваного відображення «анотація → файл DICOM»;</w:t>
      </w:r>
    </w:p>
    <w:p>
      <w:pPr>
        <w:pStyle w:val="ListNumber"/>
      </w:pPr>
      <w:r>
        <w:t>реалізація конвеєра попереднього оброблення зображень DICOM;</w:t>
      </w:r>
    </w:p>
    <w:p>
      <w:pPr>
        <w:pStyle w:val="ListNumber"/>
      </w:pPr>
      <w:r>
        <w:t>формування розподілу вибірки на рівні пацієнта зі стратифікацією за класом;</w:t>
      </w:r>
    </w:p>
    <w:p>
      <w:pPr>
        <w:pStyle w:val="ListNumber"/>
      </w:pPr>
      <w:r>
        <w:t>реалізація класів Dataset і DataLoader для PyTorch;</w:t>
      </w:r>
    </w:p>
    <w:p>
      <w:pPr>
        <w:pStyle w:val="ListNumber"/>
      </w:pPr>
      <w:r>
        <w:t>проєктування та реалізація власної згорткової мережі PulmoNet-7M;</w:t>
      </w:r>
    </w:p>
    <w:p>
      <w:pPr>
        <w:pStyle w:val="ListNumber"/>
      </w:pPr>
      <w:r>
        <w:t>реалізація інфраструктури навчання, валідації та оцінювання;</w:t>
      </w:r>
    </w:p>
    <w:p>
      <w:pPr>
        <w:pStyle w:val="ListNumber"/>
      </w:pPr>
      <w:r>
        <w:t>розроблення інтерфейсу мобільного застосунку та навігації;</w:t>
      </w:r>
    </w:p>
    <w:p>
      <w:pPr>
        <w:pStyle w:val="ListNumber"/>
      </w:pPr>
      <w:r>
        <w:t>автоматизовані перевірки всіх перелічених складових.</w:t>
      </w:r>
    </w:p>
    <w:p>
      <w:pPr>
        <w:pStyle w:val="Heading1"/>
      </w:pPr>
      <w:r>
        <w:t>2. Набір даних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Використано набір даних RSNA Pneumonia Detection Challenge 2018 у версії з узгодженою (adjudicated) розміткою. Набір зберігається локально; жоден файл набору не перейменовувався, не переміщувався та не змінювався — усі операції виконуються лише в режимі читання.</w:t>
      </w:r>
    </w:p>
    <w:p>
      <w:pPr>
        <w:spacing w:before="80" w:after="160" w:line="240" w:lineRule="auto"/>
        <w:ind w:firstLine="0" w:left="340"/>
      </w:pPr>
      <w:r>
        <w:rPr>
          <w:rFonts w:ascii="Consolas" w:hAnsi="Consolas" w:eastAsia="Consolas"/>
          <w:sz w:val="18"/>
        </w:rPr>
        <w:t>pneumonia_dataset_2018\</w:t>
        <w:br/>
        <w:t>├── images\</w:t>
        <w:br/>
        <w:t>│   └── &lt;StudyInstanceUID&gt;\</w:t>
        <w:br/>
        <w:t>│       └── &lt;SeriesInstanceUID&gt;\</w:t>
        <w:br/>
        <w:t>│           └── &lt;SOPInstanceUID&gt;.dcm     30 000 файлів, по одному на дослідження</w:t>
        <w:br/>
        <w:t>└── pneumonia-challenge-annotations-adjudicated-kaggle_2018.json   ≈52 МБ</w:t>
      </w:r>
    </w:p>
    <w:p>
      <w:pPr>
        <w:pStyle w:val="Heading2"/>
      </w:pPr>
      <w:r>
        <w:t>2.1. Характеристики зображень DICOM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685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2"/>
              </w:rPr>
              <w:t>Атрибут</w:t>
            </w:r>
          </w:p>
        </w:tc>
        <w:tc>
          <w:tcPr>
            <w:tcW w:type="dxa" w:w="5102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2"/>
              </w:rPr>
              <w:t>Значення</w:t>
            </w:r>
          </w:p>
        </w:tc>
      </w:tr>
      <w:tr>
        <w:tc>
          <w:tcPr>
            <w:tcW w:type="dxa" w:w="368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Modality</w:t>
            </w:r>
          </w:p>
        </w:tc>
        <w:tc>
          <w:tcPr>
            <w:tcW w:type="dxa" w:w="5102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CR (усі 30 000 файлів)</w:t>
            </w:r>
          </w:p>
        </w:tc>
      </w:tr>
      <w:tr>
        <w:tc>
          <w:tcPr>
            <w:tcW w:type="dxa" w:w="368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SOPClassUID</w:t>
            </w:r>
          </w:p>
        </w:tc>
        <w:tc>
          <w:tcPr>
            <w:tcW w:type="dxa" w:w="5102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1.2.840.10008.5.1.4.1.1.7 (Secondary Capture)</w:t>
            </w:r>
          </w:p>
        </w:tc>
      </w:tr>
      <w:tr>
        <w:tc>
          <w:tcPr>
            <w:tcW w:type="dxa" w:w="368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BodyPartExamined</w:t>
            </w:r>
          </w:p>
        </w:tc>
        <w:tc>
          <w:tcPr>
            <w:tcW w:type="dxa" w:w="5102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CHEST</w:t>
            </w:r>
          </w:p>
        </w:tc>
      </w:tr>
      <w:tr>
        <w:tc>
          <w:tcPr>
            <w:tcW w:type="dxa" w:w="368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ViewPosition</w:t>
            </w:r>
          </w:p>
        </w:tc>
        <w:tc>
          <w:tcPr>
            <w:tcW w:type="dxa" w:w="5102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PA — 16 248, AP — 13 752</w:t>
            </w:r>
          </w:p>
        </w:tc>
      </w:tr>
      <w:tr>
        <w:tc>
          <w:tcPr>
            <w:tcW w:type="dxa" w:w="368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Rows × Columns</w:t>
            </w:r>
          </w:p>
        </w:tc>
        <w:tc>
          <w:tcPr>
            <w:tcW w:type="dxa" w:w="5102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1024 × 1024 (усі файли)</w:t>
            </w:r>
          </w:p>
        </w:tc>
      </w:tr>
      <w:tr>
        <w:tc>
          <w:tcPr>
            <w:tcW w:type="dxa" w:w="368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PhotometricInterpretation</w:t>
            </w:r>
          </w:p>
        </w:tc>
        <w:tc>
          <w:tcPr>
            <w:tcW w:type="dxa" w:w="5102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MONOCHROME2, 8 біт на піксель</w:t>
            </w:r>
          </w:p>
        </w:tc>
      </w:tr>
      <w:tr>
        <w:tc>
          <w:tcPr>
            <w:tcW w:type="dxa" w:w="368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TransferSyntaxUID</w:t>
            </w:r>
          </w:p>
        </w:tc>
        <w:tc>
          <w:tcPr>
            <w:tcW w:type="dxa" w:w="5102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1.2.840.10008.1.2.4.50 (JPEG Baseline, Process 1)</w:t>
            </w:r>
          </w:p>
        </w:tc>
      </w:tr>
      <w:tr>
        <w:tc>
          <w:tcPr>
            <w:tcW w:type="dxa" w:w="368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PatientID</w:t>
            </w:r>
          </w:p>
        </w:tc>
        <w:tc>
          <w:tcPr>
            <w:tcW w:type="dxa" w:w="5102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анонімізований GUID, співвідношення з дослідженням 1:1</w:t>
            </w:r>
          </w:p>
        </w:tc>
      </w:tr>
    </w:tbl>
    <w:p>
      <w:pPr>
        <w:spacing w:after="0"/>
      </w:pPr>
    </w:p>
    <w:p>
      <w:pPr>
        <w:spacing w:before="40" w:after="200" w:line="240" w:lineRule="auto"/>
        <w:ind w:firstLine="0"/>
      </w:pPr>
      <w:r>
        <w:rPr>
          <w:i/>
          <w:sz w:val="22"/>
        </w:rPr>
        <w:t>Таблиця 2.1 — Метадані DICOM, отримані читанням заголовків усіх 30 000 файлів</w:t>
      </w:r>
    </w:p>
    <w:p>
      <w:pPr>
        <w:pStyle w:val="Heading2"/>
      </w:pPr>
      <w:r>
        <w:t>2.2. Структура файлу розмітки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Файл розмітки є експортом проєкту платформи MD.ai, а не пласким переліком анотацій. Він містить сім груп міток (labelGroups) із 47 мітками загалом та масив із 83 809 анотацій.</w:t>
      </w:r>
    </w:p>
    <w:p>
      <w:pPr>
        <w:spacing w:before="80" w:after="160" w:line="240" w:lineRule="auto"/>
        <w:ind w:firstLine="0" w:left="340"/>
      </w:pPr>
      <w:r>
        <w:rPr>
          <w:rFonts w:ascii="Consolas" w:hAnsi="Consolas" w:eastAsia="Consolas"/>
          <w:sz w:val="18"/>
        </w:rPr>
        <w:t>{</w:t>
        <w:br/>
        <w:t xml:space="preserve">  "name": "ChestX-ray14 subset: Pneumonia",</w:t>
        <w:br/>
        <w:t xml:space="preserve">  "labelGroups": [ { "name": "Calculated",</w:t>
        <w:br/>
        <w:t xml:space="preserve">      "labels": [ { "id": "L_v8n", "name": "Lung Opacity",</w:t>
        <w:br/>
        <w:t xml:space="preserve">                    "type": "local", "annotationMode": "bbox" }, ... ] } ],</w:t>
        <w:br/>
        <w:t xml:space="preserve">  "datasets": [ { "studies": [ 30 000 записів ],</w:t>
        <w:br/>
        <w:t xml:space="preserve">      "annotations": [ { "StudyInstanceUID": "1.2.276.0.7230010.3.1.2...",</w:t>
        <w:br/>
        <w:t xml:space="preserve">                         "SeriesInstanceUID": "1.2.276.0.7230010.3.1.3...",</w:t>
        <w:br/>
        <w:t xml:space="preserve">                         "SOPInstanceUID": "1.2.276.0.7230010.3.1.4...",</w:t>
        <w:br/>
        <w:t xml:space="preserve">                         "labelId": "L_v8n", "annotationNumber": 1,</w:t>
        <w:br/>
        <w:t xml:space="preserve">                         "width": 1024, "height": 1024,</w:t>
        <w:br/>
        <w:t xml:space="preserve">                         "data": { "x": 398.8, "y": 242.4,</w:t>
        <w:br/>
        <w:t xml:space="preserve">                                   "width": 358.4, "height": 609.6 } } ] } ]</w:t>
        <w:br/>
        <w:t>}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Групи Team 1, Team 2, Team 2a, Adjudication та QA містять первинні незалежні читання рентгенологів, які нерідко суперечать одне одному. Остаточною розміткою є група Calculated — саме вона використовується як еталонна. Вона містить рівно три класи задачі та обмежувальні рамки для позитивного класу.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3969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2"/>
              </w:rPr>
              <w:t>Мітка групи Calculated</w:t>
            </w:r>
          </w:p>
        </w:tc>
        <w:tc>
          <w:tcPr>
            <w:tcW w:type="dxa" w:w="1701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2"/>
              </w:rPr>
              <w:t>Зображень</w:t>
            </w:r>
          </w:p>
        </w:tc>
        <w:tc>
          <w:tcPr>
            <w:tcW w:type="dxa" w:w="1417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2"/>
              </w:rPr>
              <w:t>Рамок</w:t>
            </w:r>
          </w:p>
        </w:tc>
        <w:tc>
          <w:tcPr>
            <w:tcW w:type="dxa" w:w="1701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2"/>
              </w:rPr>
              <w:t>Частка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Lung Opacity</w:t>
            </w:r>
          </w:p>
        </w:tc>
        <w:tc>
          <w:tcPr>
            <w:tcW w:type="dxa" w:w="170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7 106</w:t>
            </w:r>
          </w:p>
        </w:tc>
        <w:tc>
          <w:tcPr>
            <w:tcW w:type="dxa" w:w="1417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11 390</w:t>
            </w:r>
          </w:p>
        </w:tc>
        <w:tc>
          <w:tcPr>
            <w:tcW w:type="dxa" w:w="170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23,94 %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Normal</w:t>
            </w:r>
          </w:p>
        </w:tc>
        <w:tc>
          <w:tcPr>
            <w:tcW w:type="dxa" w:w="170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9 790</w:t>
            </w:r>
          </w:p>
        </w:tc>
        <w:tc>
          <w:tcPr>
            <w:tcW w:type="dxa" w:w="1417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70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32,98 %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No Lung Opacity / Not Normal</w:t>
            </w:r>
          </w:p>
        </w:tc>
        <w:tc>
          <w:tcPr>
            <w:tcW w:type="dxa" w:w="170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12 788</w:t>
            </w:r>
          </w:p>
        </w:tc>
        <w:tc>
          <w:tcPr>
            <w:tcW w:type="dxa" w:w="1417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70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43,08 %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Разом розмічених</w:t>
            </w:r>
          </w:p>
        </w:tc>
        <w:tc>
          <w:tcPr>
            <w:tcW w:type="dxa" w:w="170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29 684</w:t>
            </w:r>
          </w:p>
        </w:tc>
        <w:tc>
          <w:tcPr>
            <w:tcW w:type="dxa" w:w="1417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11 390</w:t>
            </w:r>
          </w:p>
        </w:tc>
        <w:tc>
          <w:tcPr>
            <w:tcW w:type="dxa" w:w="170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100 %</w:t>
            </w:r>
          </w:p>
        </w:tc>
      </w:tr>
    </w:tbl>
    <w:p>
      <w:pPr>
        <w:spacing w:after="0"/>
      </w:pPr>
    </w:p>
    <w:p>
      <w:pPr>
        <w:spacing w:before="40" w:after="200" w:line="240" w:lineRule="auto"/>
        <w:ind w:firstLine="0"/>
      </w:pPr>
      <w:r>
        <w:rPr>
          <w:i/>
          <w:sz w:val="22"/>
        </w:rPr>
        <w:t>Таблиця 2.2 — Розподіл класів остаточної розмітки</w:t>
      </w:r>
    </w:p>
    <w:p>
      <w:pPr>
        <w:pStyle w:val="Heading2"/>
      </w:pPr>
      <w:r>
        <w:t>2.3. Зв’язок розмітки з файлами DICOM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Ключем зіставлення обрано SOPInstanceUID, зчитаний із заголовка DICOM, а не з імені файлу. Значення StudyInstanceUID та SeriesInstanceUID використовуються як перехресна перевірка. Імена каталогів збігаються з відповідними UID, проте перевіряється саме заголовок: розбіжностей не виявлено в жодному з 30 000 файлів.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5386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2"/>
              </w:rPr>
              <w:t>Показник</w:t>
            </w:r>
          </w:p>
        </w:tc>
        <w:tc>
          <w:tcPr>
            <w:tcW w:type="dxa" w:w="3402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2"/>
              </w:rPr>
              <w:t>Значення</w:t>
            </w:r>
          </w:p>
        </w:tc>
      </w:tr>
      <w:tr>
        <w:tc>
          <w:tcPr>
            <w:tcW w:type="dxa" w:w="5386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Знайдено файлів .dcm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30 000</w:t>
            </w:r>
          </w:p>
        </w:tc>
      </w:tr>
      <w:tr>
        <w:tc>
          <w:tcPr>
            <w:tcW w:type="dxa" w:w="5386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Заголовків прочитано успішно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30 000</w:t>
            </w:r>
          </w:p>
        </w:tc>
      </w:tr>
      <w:tr>
        <w:tc>
          <w:tcPr>
            <w:tcW w:type="dxa" w:w="5386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Унікальних StudyInstanceUID / SeriesInstanceUID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30 000 / 30 000</w:t>
            </w:r>
          </w:p>
        </w:tc>
      </w:tr>
      <w:tr>
        <w:tc>
          <w:tcPr>
            <w:tcW w:type="dxa" w:w="5386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Розбіжностей «шлях ↔ заголовок»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0</w:t>
            </w:r>
          </w:p>
        </w:tc>
      </w:tr>
      <w:tr>
        <w:tc>
          <w:tcPr>
            <w:tcW w:type="dxa" w:w="5386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Дублікатів SOPInstanceUID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0</w:t>
            </w:r>
          </w:p>
        </w:tc>
      </w:tr>
      <w:tr>
        <w:tc>
          <w:tcPr>
            <w:tcW w:type="dxa" w:w="5386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Зіставлено з остаточною розміткою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29 684</w:t>
            </w:r>
          </w:p>
        </w:tc>
      </w:tr>
      <w:tr>
        <w:tc>
          <w:tcPr>
            <w:tcW w:type="dxa" w:w="5386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Файлів без остаточної мітки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316</w:t>
            </w:r>
          </w:p>
        </w:tc>
      </w:tr>
      <w:tr>
        <w:tc>
          <w:tcPr>
            <w:tcW w:type="dxa" w:w="5386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Анотацій без відповідного файлу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0</w:t>
            </w:r>
          </w:p>
        </w:tc>
      </w:tr>
      <w:tr>
        <w:tc>
          <w:tcPr>
            <w:tcW w:type="dxa" w:w="5386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Обмежувальних рамок</w:t>
            </w:r>
          </w:p>
        </w:tc>
        <w:tc>
          <w:tcPr>
            <w:tcW w:type="dxa" w:w="3402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11 390</w:t>
            </w:r>
          </w:p>
        </w:tc>
      </w:tr>
    </w:tbl>
    <w:p>
      <w:pPr>
        <w:spacing w:after="0"/>
      </w:pPr>
    </w:p>
    <w:p>
      <w:pPr>
        <w:spacing w:before="40" w:after="200" w:line="240" w:lineRule="auto"/>
        <w:ind w:firstLine="0"/>
      </w:pPr>
      <w:r>
        <w:rPr>
          <w:i/>
          <w:sz w:val="22"/>
        </w:rPr>
        <w:t>Таблиця 2.3 — Результати зіставлення розмітки з файлами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316 зображень не мають мітки у групі Calculated: 106 позначені рентгенологами як Exclude (непридатне дослідження), ще 210 отримали первинні читання, але не пройшли процедуру узгодження. Ці зображення виключено з навчання: присвоєння їм мітки за припущенням внесло б шум як у навчання, так і в оцінювання. У таблиці відображення вони збережені з ознакою matched = 0 та переліком первинних міток, тому рішення про їх виключення залишається простежуваним.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Обмежувальні рамки задані в пікселях у системі координат 1024 × 1024 з початком у лівому верхньому куті. Для всіх 11 390 рамок перевірено, що система координат анотації збігається з розміром зображення DICOM і жодна рамка не виходить за межі кадру.</w:t>
      </w:r>
    </w:p>
    <w:p>
      <w:pPr>
        <w:pStyle w:val="Heading1"/>
      </w:pPr>
      <w:r>
        <w:t>3. Попереднє оброблення зображень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Конвеєр попереднього оброблення реалізовано на базових операціях PyTorch без сторонніх бібліотек оброблення зображень. Кожне зображення обробляється окремо в момент звернення до нього, тому обсяг оперативної пам’яті не залежить від розміру вибірки.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551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2"/>
              </w:rPr>
              <w:t>Крок</w:t>
            </w:r>
          </w:p>
        </w:tc>
        <w:tc>
          <w:tcPr>
            <w:tcW w:type="dxa" w:w="6236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2"/>
              </w:rPr>
              <w:t>Опис</w:t>
            </w:r>
          </w:p>
        </w:tc>
      </w:tr>
      <w:tr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1. Читання пікселів</w:t>
            </w:r>
          </w:p>
        </w:tc>
        <w:tc>
          <w:tcPr>
            <w:tcW w:type="dxa" w:w="6236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pydicom + pylibjpeg: дані стиснено JPEG Baseline, тому потрібен зовнішній декодер</w:t>
            </w:r>
          </w:p>
        </w:tc>
      </w:tr>
      <w:tr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2. Фотометрична корекція</w:t>
            </w:r>
          </w:p>
        </w:tc>
        <w:tc>
          <w:tcPr>
            <w:tcW w:type="dxa" w:w="6236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MONOCHROME1 інвертується; для набору характерна MONOCHROME2, але обробляються обидва варіанти</w:t>
            </w:r>
          </w:p>
        </w:tc>
      </w:tr>
      <w:tr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3. Приведення до [0; 1]</w:t>
            </w:r>
          </w:p>
        </w:tc>
        <w:tc>
          <w:tcPr>
            <w:tcW w:type="dxa" w:w="6236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ділення на реальний діапазон розрядності (BitsStored), а не на константу 255</w:t>
            </w:r>
          </w:p>
        </w:tc>
      </w:tr>
      <w:tr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4. Зміна розміру</w:t>
            </w:r>
          </w:p>
        </w:tc>
        <w:tc>
          <w:tcPr>
            <w:tcW w:type="dxa" w:w="6236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білінійна інтерполяція зі згладжуванням до 224 × 224; координати рамок масштабуються тим самим коефіцієнтом</w:t>
            </w:r>
          </w:p>
        </w:tc>
      </w:tr>
      <w:tr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5. Аугментація (лише навчання)</w:t>
            </w:r>
          </w:p>
        </w:tc>
        <w:tc>
          <w:tcPr>
            <w:tcW w:type="dxa" w:w="6236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поворот ±7°, яскравість і контраст ±20 %; вироджені після повороту рамки відкидаються</w:t>
            </w:r>
          </w:p>
        </w:tc>
      </w:tr>
      <w:tr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6. Нормалізація</w:t>
            </w:r>
          </w:p>
        </w:tc>
        <w:tc>
          <w:tcPr>
            <w:tcW w:type="dxa" w:w="6236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середнє 0,4932 і стандартне відхилення 0,2458, виміряні на 800 випадкових зображеннях навчальної вибірки</w:t>
            </w:r>
          </w:p>
        </w:tc>
      </w:tr>
    </w:tbl>
    <w:p>
      <w:pPr>
        <w:spacing w:after="0"/>
      </w:pPr>
    </w:p>
    <w:p>
      <w:pPr>
        <w:spacing w:before="40" w:after="200" w:line="240" w:lineRule="auto"/>
        <w:ind w:firstLine="0"/>
      </w:pPr>
      <w:r>
        <w:rPr>
          <w:i/>
          <w:sz w:val="22"/>
        </w:rPr>
        <w:t>Таблиця 3.1 — Кроки попереднього оброблення одного зображення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Горизонтальне віддзеркалення свідомо вимкнено: ліво-праве розташування анатомічних структур на рентгенограмі є змістовним (положення серця, situs), і дзеркальне відображення навчало б мережу конфігурації, яка практично не трапляється.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Зображення передається мережі як один канал у форматі [1, 224, 224]. Рентгенограма не містить кольорової інформації, тому дублювання півтонового каналу в три канали RGB не виконується — це зайві обчислення і на етапі навчання, і на етапі мобільного висновування.</w:t>
      </w:r>
    </w:p>
    <w:p>
      <w:pPr>
        <w:pStyle w:val="Heading1"/>
      </w:pPr>
      <w:r>
        <w:t>4. Розподіл вибірки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Вибірку поділено у співвідношенні 70 / 15 / 15 із групуванням за пацієнтом і стратифікацією за класом. Групування виконується за полем PatientID, зчитаним із заголовка DICOM.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Обґрунтування групування: знімки одного пацієнта сильно корельовані (та сама анатомія, те саме обладнання, часто той самий епізод захворювання). Якщо такі знімки потраплять у різні частини вибірки, модель зможе розпізнавати пацієнта замість ознаки, і оцінка на валідації виявиться завищеною. У цьому наборі PatientID перебуває у співвідношенні 1:1 з дослідженням, тому групування наразі нічого не змінює, проте воно застосовується для коректності конвеєра у разі розширення набору повторними дослідженнями.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Обґрунтування стратифікації: позитивний клас становить 23,9 %, тому випадковий поділ давав би різну частку позитивних прикладів у частинах вибірки й ускладнював порівняння метрик. Пацієнти групуються за міткою перед розподілом, завдяки чому частка позитивних однакова в усіх трьох частинах.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587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0"/>
              </w:rPr>
              <w:t>Частина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0"/>
              </w:rPr>
              <w:t>Зображень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0"/>
              </w:rPr>
              <w:t>Пацієнтів</w:t>
            </w:r>
          </w:p>
        </w:tc>
        <w:tc>
          <w:tcPr>
            <w:tcW w:type="dxa" w:w="1304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0"/>
              </w:rPr>
              <w:t>Позитивних</w:t>
            </w:r>
          </w:p>
        </w:tc>
        <w:tc>
          <w:tcPr>
            <w:tcW w:type="dxa" w:w="1361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0"/>
              </w:rPr>
              <w:t>Негативних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0"/>
              </w:rPr>
              <w:t>Частка поз.</w:t>
            </w:r>
          </w:p>
        </w:tc>
        <w:tc>
          <w:tcPr>
            <w:tcW w:type="dxa" w:w="1077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0"/>
              </w:rPr>
              <w:t>Рамок</w:t>
            </w:r>
          </w:p>
        </w:tc>
      </w:tr>
      <w:tr>
        <w:tc>
          <w:tcPr>
            <w:tcW w:type="dxa" w:w="1587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Навчальна</w:t>
            </w:r>
          </w:p>
        </w:tc>
        <w:tc>
          <w:tcPr>
            <w:tcW w:type="dxa" w:w="1304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20 779</w:t>
            </w:r>
          </w:p>
        </w:tc>
        <w:tc>
          <w:tcPr>
            <w:tcW w:type="dxa" w:w="1304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20 779</w:t>
            </w:r>
          </w:p>
        </w:tc>
        <w:tc>
          <w:tcPr>
            <w:tcW w:type="dxa" w:w="1304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4 974</w:t>
            </w:r>
          </w:p>
        </w:tc>
        <w:tc>
          <w:tcPr>
            <w:tcW w:type="dxa" w:w="136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15 805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0,2394</w:t>
            </w:r>
          </w:p>
        </w:tc>
        <w:tc>
          <w:tcPr>
            <w:tcW w:type="dxa" w:w="1077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7 945</w:t>
            </w:r>
          </w:p>
        </w:tc>
      </w:tr>
      <w:tr>
        <w:tc>
          <w:tcPr>
            <w:tcW w:type="dxa" w:w="1587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Валідаційна</w:t>
            </w:r>
          </w:p>
        </w:tc>
        <w:tc>
          <w:tcPr>
            <w:tcW w:type="dxa" w:w="1304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4 453</w:t>
            </w:r>
          </w:p>
        </w:tc>
        <w:tc>
          <w:tcPr>
            <w:tcW w:type="dxa" w:w="1304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4 453</w:t>
            </w:r>
          </w:p>
        </w:tc>
        <w:tc>
          <w:tcPr>
            <w:tcW w:type="dxa" w:w="1304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1 066</w:t>
            </w:r>
          </w:p>
        </w:tc>
        <w:tc>
          <w:tcPr>
            <w:tcW w:type="dxa" w:w="136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3 387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0,2394</w:t>
            </w:r>
          </w:p>
        </w:tc>
        <w:tc>
          <w:tcPr>
            <w:tcW w:type="dxa" w:w="1077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1 736</w:t>
            </w:r>
          </w:p>
        </w:tc>
      </w:tr>
      <w:tr>
        <w:tc>
          <w:tcPr>
            <w:tcW w:type="dxa" w:w="1587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Тестова</w:t>
            </w:r>
          </w:p>
        </w:tc>
        <w:tc>
          <w:tcPr>
            <w:tcW w:type="dxa" w:w="1304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4 452</w:t>
            </w:r>
          </w:p>
        </w:tc>
        <w:tc>
          <w:tcPr>
            <w:tcW w:type="dxa" w:w="1304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4 452</w:t>
            </w:r>
          </w:p>
        </w:tc>
        <w:tc>
          <w:tcPr>
            <w:tcW w:type="dxa" w:w="1304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1 066</w:t>
            </w:r>
          </w:p>
        </w:tc>
        <w:tc>
          <w:tcPr>
            <w:tcW w:type="dxa" w:w="136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3 386</w:t>
            </w:r>
          </w:p>
        </w:tc>
        <w:tc>
          <w:tcPr>
            <w:tcW w:type="dxa" w:w="1134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0,2394</w:t>
            </w:r>
          </w:p>
        </w:tc>
        <w:tc>
          <w:tcPr>
            <w:tcW w:type="dxa" w:w="1077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1 709</w:t>
            </w:r>
          </w:p>
        </w:tc>
      </w:tr>
    </w:tbl>
    <w:p>
      <w:pPr>
        <w:spacing w:after="0"/>
      </w:pPr>
    </w:p>
    <w:p>
      <w:pPr>
        <w:spacing w:before="40" w:after="200" w:line="240" w:lineRule="auto"/>
        <w:ind w:firstLine="0"/>
      </w:pPr>
      <w:r>
        <w:rPr>
          <w:i/>
          <w:sz w:val="22"/>
        </w:rPr>
        <w:t>Таблиця 4.1 — Розподіл вибірки (початкове значення генератора 42)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Відтворюваність забезпечено сортуванням ідентифікаторів пацієнтів перед перемішуванням генератором numpy з фіксованим початковим значенням: результат залежить лише від цього значення й не залежить від порядку рядків. Повторний запуск дає побайтово ідентичний файл розподілу. Виконано явну перевірку перетинів множин: спільних пацієнтів між частинами вибірки — 0, спільних зображень — 0.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Тестова вибірка не використовується під час проєктування та навчання. Вона читається виключно окремим сценарієм оцінювання після того, як найкращу контрольну точку обрано за валідаційною метрикою.</w:t>
      </w:r>
    </w:p>
    <w:p>
      <w:pPr>
        <w:pStyle w:val="Heading1"/>
      </w:pPr>
      <w:r>
        <w:t>5. Архітектура мережі PulmoNet-7M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Для роботи розроблено власну згорткову мережу, реалізовану базовими шарами PyTorch: Conv2d, BatchNorm2d, ReLU, MaxPool2d, Dropout2d, AdaptiveAvgPool2d, Linear. Готові архітектури (DenseNet, ResNet, EfficientNet, VGG), попередньо навчені ваги та перенесення навчання не використовуються — усі параметри ініціалізуються випадково за методом Кайміна (He).</w:t>
      </w:r>
    </w:p>
    <w:p>
      <w:pPr>
        <w:pStyle w:val="Heading2"/>
      </w:pPr>
      <w:r>
        <w:t>5.1. Схема мережі</w:t>
      </w:r>
    </w:p>
    <w:p>
      <w:pPr>
        <w:spacing w:before="80" w:after="160" w:line="240" w:lineRule="auto"/>
        <w:ind w:firstLine="0" w:left="340"/>
      </w:pPr>
      <w:r>
        <w:rPr>
          <w:rFonts w:ascii="Consolas" w:hAnsi="Consolas" w:eastAsia="Consolas"/>
          <w:sz w:val="20"/>
        </w:rPr>
        <w:t>Вхід  1 × 224 × 224</w:t>
        <w:br/>
        <w:t xml:space="preserve">  ↓</w:t>
        <w:br/>
        <w:t>Stem     Conv3×3 s2 (1→32)   + BN + ReLU            →  32 × 112 × 112</w:t>
        <w:br/>
        <w:t xml:space="preserve">  ↓</w:t>
        <w:br/>
        <w:t>Блок 1   Conv3×3 (32→64), Conv3×3 (64→64)</w:t>
        <w:br/>
        <w:t xml:space="preserve">         MaxPool 2×2                                →  64 ×  56 ×  56</w:t>
        <w:br/>
        <w:t xml:space="preserve">  ↓</w:t>
        <w:br/>
        <w:t>Блок 2   Conv3×3 (64→128), Conv3×3 (128→128)</w:t>
        <w:br/>
        <w:t xml:space="preserve">         MaxPool 2×2                                → 128 ×  28 ×  28</w:t>
        <w:br/>
        <w:t xml:space="preserve">  ↓</w:t>
        <w:br/>
        <w:t>Блок 3   Conv3×3 (128→256), Conv3×3 (256→256) × 2</w:t>
        <w:br/>
        <w:t xml:space="preserve">         MaxPool 2×2 → Dropout2d(0,1)               → 256 ×  14 ×  14</w:t>
        <w:br/>
        <w:t xml:space="preserve">  ↓</w:t>
        <w:br/>
        <w:t>Блок 4   Conv3×3 (256→384), Conv3×3 (384→384) × 2</w:t>
        <w:br/>
        <w:t xml:space="preserve">         MaxPool 2×2 → Dropout2d(0,1)               → 384 ×   7 ×   7</w:t>
        <w:br/>
        <w:t xml:space="preserve">  ↓</w:t>
        <w:br/>
        <w:t>Блок 5   Conv3×3 (384→512)   + BN + ReLU            → 512 ×   7 ×   7</w:t>
        <w:br/>
        <w:t xml:space="preserve">  ↓</w:t>
        <w:br/>
        <w:t>AdaptiveAvgPool2d(1)                                → 512</w:t>
        <w:br/>
        <w:t xml:space="preserve">  ↓  Dropout(0,4)</w:t>
        <w:br/>
        <w:t>Linear(512 → 1)                                     → [B] логіт</w:t>
      </w:r>
    </w:p>
    <w:p>
      <w:pPr>
        <w:spacing w:before="40" w:after="200" w:line="240" w:lineRule="auto"/>
        <w:ind w:firstLine="0"/>
      </w:pPr>
      <w:r>
        <w:rPr>
          <w:i/>
          <w:sz w:val="22"/>
        </w:rPr>
        <w:t>Рисунок 5.1 — Структура мережі PulmoNet-7M. Усі згортки 3×3, крок 1, доповнення 1, без вільного члена (його роль виконує BatchNorm); єдина згортка з кроком 2 — вхідна.</w:t>
      </w:r>
    </w:p>
    <w:p>
      <w:pPr>
        <w:pStyle w:val="Heading2"/>
      </w:pPr>
      <w:r>
        <w:t>5.2. Призначення блоків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247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2"/>
              </w:rPr>
              <w:t>Блок</w:t>
            </w:r>
          </w:p>
        </w:tc>
        <w:tc>
          <w:tcPr>
            <w:tcW w:type="dxa" w:w="1587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2"/>
              </w:rPr>
              <w:t>Роздільність</w:t>
            </w:r>
          </w:p>
        </w:tc>
        <w:tc>
          <w:tcPr>
            <w:tcW w:type="dxa" w:w="5953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2"/>
              </w:rPr>
              <w:t>Які ознаки виділяє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Stem</w:t>
            </w:r>
          </w:p>
        </w:tc>
        <w:tc>
          <w:tcPr>
            <w:tcW w:type="dxa" w:w="1587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224 → 112</w:t>
            </w:r>
          </w:p>
        </w:tc>
        <w:tc>
          <w:tcPr>
            <w:tcW w:type="dxa" w:w="5953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краї та градієнти; раннє зменшення роздільності вчетверо знижує обчислювальну вартість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Блок 1</w:t>
            </w:r>
          </w:p>
        </w:tc>
        <w:tc>
          <w:tcPr>
            <w:tcW w:type="dxa" w:w="1587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112</w:t>
            </w:r>
          </w:p>
        </w:tc>
        <w:tc>
          <w:tcPr>
            <w:tcW w:type="dxa" w:w="5953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прості локальні ознаки: межі ребер, контур діафрагми, край легеневого поля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Блок 2</w:t>
            </w:r>
          </w:p>
        </w:tc>
        <w:tc>
          <w:tcPr>
            <w:tcW w:type="dxa" w:w="1587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56</w:t>
            </w:r>
          </w:p>
        </w:tc>
        <w:tc>
          <w:tcPr>
            <w:tcW w:type="dxa" w:w="5953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текстури: легеневий рисунок, судинні тіні, зернистість паренхіми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Блок 3</w:t>
            </w:r>
          </w:p>
        </w:tc>
        <w:tc>
          <w:tcPr>
            <w:tcW w:type="dxa" w:w="1587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28</w:t>
            </w:r>
          </w:p>
        </w:tc>
        <w:tc>
          <w:tcPr>
            <w:tcW w:type="dxa" w:w="5953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патерни середньої складності: ділянки підвищеної щільності та їх межі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Блок 4</w:t>
            </w:r>
          </w:p>
        </w:tc>
        <w:tc>
          <w:tcPr>
            <w:tcW w:type="dxa" w:w="1587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14</w:t>
            </w:r>
          </w:p>
        </w:tc>
        <w:tc>
          <w:tcPr>
            <w:tcW w:type="dxa" w:w="5953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великі структури та їх взаємне розташування, ознаки на рівні цілої зони легені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Блок 5</w:t>
            </w:r>
          </w:p>
        </w:tc>
        <w:tc>
          <w:tcPr>
            <w:tcW w:type="dxa" w:w="1587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7</w:t>
            </w:r>
          </w:p>
        </w:tc>
        <w:tc>
          <w:tcPr>
            <w:tcW w:type="dxa" w:w="5953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стиснення в компактний опис усього знімка перед усередненням</w:t>
            </w:r>
          </w:p>
        </w:tc>
      </w:tr>
    </w:tbl>
    <w:p>
      <w:pPr>
        <w:spacing w:after="0"/>
      </w:pPr>
    </w:p>
    <w:p>
      <w:pPr>
        <w:spacing w:before="40" w:after="200" w:line="240" w:lineRule="auto"/>
        <w:ind w:firstLine="0"/>
      </w:pPr>
      <w:r>
        <w:rPr>
          <w:i/>
          <w:sz w:val="22"/>
        </w:rPr>
        <w:t>Таблиця 5.1 — Функціональне призначення блоків</w:t>
      </w:r>
    </w:p>
    <w:p>
      <w:pPr>
        <w:pStyle w:val="Heading2"/>
      </w:pPr>
      <w:r>
        <w:t>5.3. Кількість параметрів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2"/>
              </w:rPr>
              <w:t>Складова</w:t>
            </w:r>
          </w:p>
        </w:tc>
        <w:tc>
          <w:tcPr>
            <w:tcW w:type="dxa" w:w="2835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2"/>
              </w:rPr>
              <w:t>Параметрів</w:t>
            </w:r>
          </w:p>
        </w:tc>
      </w:tr>
      <w:tr>
        <w:tc>
          <w:tcPr>
            <w:tcW w:type="dxa" w:w="453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Stem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352</w:t>
            </w:r>
          </w:p>
        </w:tc>
      </w:tr>
      <w:tr>
        <w:tc>
          <w:tcPr>
            <w:tcW w:type="dxa" w:w="453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Блок 1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55 552</w:t>
            </w:r>
          </w:p>
        </w:tc>
      </w:tr>
      <w:tr>
        <w:tc>
          <w:tcPr>
            <w:tcW w:type="dxa" w:w="453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Блок 2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221 696</w:t>
            </w:r>
          </w:p>
        </w:tc>
      </w:tr>
      <w:tr>
        <w:tc>
          <w:tcPr>
            <w:tcW w:type="dxa" w:w="453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Блок 3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1 476 096</w:t>
            </w:r>
          </w:p>
        </w:tc>
      </w:tr>
      <w:tr>
        <w:tc>
          <w:tcPr>
            <w:tcW w:type="dxa" w:w="453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Блок 4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3 541 248</w:t>
            </w:r>
          </w:p>
        </w:tc>
      </w:tr>
      <w:tr>
        <w:tc>
          <w:tcPr>
            <w:tcW w:type="dxa" w:w="453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Блок 5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1 770 496</w:t>
            </w:r>
          </w:p>
        </w:tc>
      </w:tr>
      <w:tr>
        <w:tc>
          <w:tcPr>
            <w:tcW w:type="dxa" w:w="453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Класифікатор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513</w:t>
            </w:r>
          </w:p>
        </w:tc>
      </w:tr>
      <w:tr>
        <w:tc>
          <w:tcPr>
            <w:tcW w:type="dxa" w:w="453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Разом (усі навчувані)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7 065 953</w:t>
            </w:r>
          </w:p>
        </w:tc>
      </w:tr>
    </w:tbl>
    <w:p>
      <w:pPr>
        <w:spacing w:after="0"/>
      </w:pPr>
    </w:p>
    <w:p>
      <w:pPr>
        <w:spacing w:before="40" w:after="200" w:line="240" w:lineRule="auto"/>
        <w:ind w:firstLine="0"/>
      </w:pPr>
      <w:r>
        <w:rPr>
          <w:i/>
          <w:sz w:val="22"/>
        </w:rPr>
        <w:t>Таблиця 5.2 — Розподіл параметрів за блоками (обчислено засобами PyTorch). Обсяг моделі: 28,3 МБ у форматі fp32, близько 7,1 МБ після квантування до int8; обчислювальна складність — 3,3 GMAC на знімок.</w:t>
      </w:r>
    </w:p>
    <w:p>
      <w:pPr>
        <w:pStyle w:val="Heading2"/>
      </w:pPr>
      <w:r>
        <w:t>5.4. Обґрунтування архітектурних рішень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551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0"/>
              </w:rPr>
              <w:t>Рішення</w:t>
            </w:r>
          </w:p>
        </w:tc>
        <w:tc>
          <w:tcPr>
            <w:tcW w:type="dxa" w:w="6236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0"/>
              </w:rPr>
              <w:t>Обґрунтування</w:t>
            </w:r>
          </w:p>
        </w:tc>
      </w:tr>
      <w:tr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Вхідна згортка з кроком 2</w:t>
            </w:r>
          </w:p>
        </w:tc>
        <w:tc>
          <w:tcPr>
            <w:tcW w:type="dxa" w:w="6236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вихідне зображення 1024² вже зменшено до 224², тому подальша деталізація не несе корисного сигналу, а повна роздільність коштує вчетверо більших обчислень</w:t>
            </w:r>
          </w:p>
        </w:tc>
      </w:tr>
      <w:tr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П’ять ступенів, 14 згорток</w:t>
            </w:r>
          </w:p>
        </w:tc>
        <w:tc>
          <w:tcPr>
            <w:tcW w:type="dxa" w:w="6236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перехід 224 → 7 потребує п’яти зменшень удвічі; така глибина доводить рецептивне поле останнього шару до ≈265 пікселів, тобто рішення враховує весь знімок. Це істотно, оскільки рамки розмітки сягають 528 × 942 пікселів у кадрі 1024</w:t>
            </w:r>
          </w:p>
        </w:tc>
      </w:tr>
      <w:tr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Ширина 32→64→128→256→384→512</w:t>
            </w:r>
          </w:p>
        </w:tc>
        <w:tc>
          <w:tcPr>
            <w:tcW w:type="dxa" w:w="6236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подвоєння кількості каналів за одночасного зменшення роздільності зберігає приблизно однакову вартість ступенів; проміжне значення 384 дає змогу вкластися в бюджет близько 7 млн параметрів без скорочення глибини</w:t>
            </w:r>
          </w:p>
        </w:tc>
      </w:tr>
      <w:tr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Відмова від залишкових зв’язків</w:t>
            </w:r>
          </w:p>
        </w:tc>
        <w:tc>
          <w:tcPr>
            <w:tcW w:type="dxa" w:w="6236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14 шарів із пакетною нормалізацією навчаються з нуля стабільно; залишкові зв’язки стають потрібними за глибини понад ≈20 шарів</w:t>
            </w:r>
          </w:p>
        </w:tc>
      </w:tr>
      <w:tr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BatchNorm після кожної згортки</w:t>
            </w:r>
          </w:p>
        </w:tc>
        <w:tc>
          <w:tcPr>
            <w:tcW w:type="dxa" w:w="6236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обов’язковий елемент за навчання з нуля: стабілізує розподіли активацій, дає змогу використовувати більший крок навчання та додає помірну регуляризацію</w:t>
            </w:r>
          </w:p>
        </w:tc>
      </w:tr>
      <w:tr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Функція активації ReLU</w:t>
            </w:r>
          </w:p>
        </w:tc>
        <w:tc>
          <w:tcPr>
            <w:tcW w:type="dxa" w:w="6236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дешевша за GELU і зливається з Conv+BN під час квантування в мобільних середовищах виконання; GELU розгортається в ланцюжок операцій і часто порушує таке злиття</w:t>
            </w:r>
          </w:p>
        </w:tc>
      </w:tr>
      <w:tr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MaxPool замість згортки з кроком</w:t>
            </w:r>
          </w:p>
        </w:tc>
        <w:tc>
          <w:tcPr>
            <w:tcW w:type="dxa" w:w="6236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не додає параметрів за жорсткого бюджету, стійко обирає найвиразніший відгук у вікні та однозначно експортується</w:t>
            </w:r>
          </w:p>
        </w:tc>
      </w:tr>
      <w:tr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Dropout2d лише у блоках 3–4</w:t>
            </w:r>
          </w:p>
        </w:tc>
        <w:tc>
          <w:tcPr>
            <w:tcW w:type="dxa" w:w="6236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поелементний dropout між корельованими активаціями згорток малоефективний; просторовий вимикає канал цілком. У ранніх блоках параметрів мало, тому регуляризація там не потрібна</w:t>
            </w:r>
          </w:p>
        </w:tc>
      </w:tr>
      <w:tr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Глобальне усереднення замість Flatten</w:t>
            </w:r>
          </w:p>
        </w:tc>
        <w:tc>
          <w:tcPr>
            <w:tcW w:type="dxa" w:w="6236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розгортання карти 512 × 7 × 7 дає вектор 25 088 ознак, а прихований шар над ним коштував би близько 12,8 млн параметрів — більше, ніж уся решта мережі — і майже неминуче перенавчився б на 20 779 зображеннях. Усереднення не має параметрів, не прив’язує мережу до конкретної роздільності входу та лишає карту 512 × 7 × 7 придатною для побудови теплової карти активацій</w:t>
            </w:r>
          </w:p>
        </w:tc>
      </w:tr>
    </w:tbl>
    <w:p>
      <w:pPr>
        <w:spacing w:after="0"/>
      </w:pPr>
    </w:p>
    <w:p>
      <w:pPr>
        <w:spacing w:before="40" w:after="200" w:line="240" w:lineRule="auto"/>
        <w:ind w:firstLine="0"/>
      </w:pPr>
      <w:r>
        <w:rPr>
          <w:i/>
          <w:sz w:val="22"/>
        </w:rPr>
        <w:t>Таблиця 5.3 — Обґрунтування архітектурних рішень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Обраний масштаб — приблизно 340 параметрів на одне навчальне зображення. Формально це перевизначена система, проте ваги згорток спільні для всіх просторових позицій, тому ефективна ємність значно нижча за номінальну; мережі такого розміру є звичайним вибором для наборів даних відповідного обсягу. За кількості параметрів нижче ≈3 млн середні ступені починають недобирати ємності на роздільності 224², вище ≈15 млн додаткова ємність рідко окупається без попереднього навчання.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Перенавчання є основним очікуваним ризиком, оскільки навчання виконується з нуля на 20 779 зображеннях за частки позитивного класу 23,9 %. Протидія: аугментація, пакетна нормалізація, просторовий і звичайний dropout, зважування позитивного класу у функції втрат, рання зупинка за валідаційною метрикою та ізольована тестова вибірка. Розрив між навчальною та валідаційною метриками фіксується поепохово у журналі навчання.</w:t>
      </w:r>
    </w:p>
    <w:p>
      <w:pPr>
        <w:pStyle w:val="Heading1"/>
      </w:pPr>
      <w:r>
        <w:t>6. Інфраструктура навчання та оцінювання</w:t>
      </w:r>
    </w:p>
    <w:p>
      <w:pPr>
        <w:pStyle w:val="Heading2"/>
      </w:pPr>
      <w:r>
        <w:t>6.1. Функція втрат і незбалансованість класів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Використано BCEWithLogitsLoss із параметром pos_weight, що дорівнює відношенню кількості негативних прикладів до позитивних. Значення обчислюється виключно за навчальною вибіркою: 15 805 / 4 974 = 3,1775. Функція обчислення параметра навмисно відхиляє будь-яку частину вибірки, крім навчальної, — інакше інформація про розподіл класів у відкладених даних потрапила б у цільову функцію.</w:t>
      </w:r>
    </w:p>
    <w:p>
      <w:pPr>
        <w:pStyle w:val="Heading2"/>
      </w:pPr>
      <w:r>
        <w:t>6.2. Метрики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Обчислюються частка правильних відповідей (accuracy), точність (precision), повнота (recall), специфічність, F1-міра, площа під ROC-кривою та площа під кривою «точність — повнота» (AUPRC). Метрики накопичуються за цілу епоху, а не усереднюються за пакетами: усереднена за пакетами площа під ROC-кривою позбавлена змісту. Реалізацію ROC-AUC (рангова тотожність Манна — Уїтні з усередненням рангів для однакових значень) перевірено на збіг із прямим попарним визначенням із точністю 10⁻⁹.</w:t>
      </w:r>
    </w:p>
    <w:p>
      <w:pPr>
        <w:pStyle w:val="Heading2"/>
      </w:pPr>
      <w:r>
        <w:t>6.3. Збереження моделі та рання зупинка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Після кожної епохи оновлюється контрольна точка last.pt; контрольна точка best.pt зберігається лише за поліпшення площі під ROC-кривою на валідаційній вибірці. Крок навчання зменшується вдвічі, якщо метрика не поліпшується протягом двох епох; навчання зупиняється, якщо вона не поліпшується протягом п’яти епох. Результати кожного експерименту зберігаються у власному каталозі: конфігурація, поепоховий журнал, контрольні точки, підсумкові метрики та поімовірнісні прогнози для побудови ROC- і PR-кривих.</w:t>
      </w:r>
    </w:p>
    <w:p>
      <w:pPr>
        <w:pStyle w:val="Heading2"/>
      </w:pPr>
      <w:r>
        <w:t>6.4. Конфігурація експерименту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685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2"/>
              </w:rPr>
              <w:t>Параметр</w:t>
            </w:r>
          </w:p>
        </w:tc>
        <w:tc>
          <w:tcPr>
            <w:tcW w:type="dxa" w:w="2551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2"/>
              </w:rPr>
              <w:t>Значення</w:t>
            </w:r>
          </w:p>
        </w:tc>
        <w:tc>
          <w:tcPr>
            <w:tcW w:type="dxa" w:w="3118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2"/>
              </w:rPr>
              <w:t>Змінна середовища</w:t>
            </w:r>
          </w:p>
        </w:tc>
      </w:tr>
      <w:tr>
        <w:tc>
          <w:tcPr>
            <w:tcW w:type="dxa" w:w="368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Розмір зображення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224 × 224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PULMOAI_IMAGE_SIZE</w:t>
            </w:r>
          </w:p>
        </w:tc>
      </w:tr>
      <w:tr>
        <w:tc>
          <w:tcPr>
            <w:tcW w:type="dxa" w:w="368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Кількість каналів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1 (півтоновий)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PULMOAI_IMAGE_CHANNELS</w:t>
            </w:r>
          </w:p>
        </w:tc>
      </w:tr>
      <w:tr>
        <w:tc>
          <w:tcPr>
            <w:tcW w:type="dxa" w:w="368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Розмір пакета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32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PULMOAI_BATCH_SIZE</w:t>
            </w:r>
          </w:p>
        </w:tc>
      </w:tr>
      <w:tr>
        <w:tc>
          <w:tcPr>
            <w:tcW w:type="dxa" w:w="368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Крок навчання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3·10⁻⁴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PULMOAI_LR</w:t>
            </w:r>
          </w:p>
        </w:tc>
      </w:tr>
      <w:tr>
        <w:tc>
          <w:tcPr>
            <w:tcW w:type="dxa" w:w="368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Коефіцієнт регуляризації ваг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1·10⁻⁴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PULMOAI_WEIGHT_DECAY</w:t>
            </w:r>
          </w:p>
        </w:tc>
      </w:tr>
      <w:tr>
        <w:tc>
          <w:tcPr>
            <w:tcW w:type="dxa" w:w="368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Dropout (класифікатор)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0,4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PULMOAI_DROPOUT</w:t>
            </w:r>
          </w:p>
        </w:tc>
      </w:tr>
      <w:tr>
        <w:tc>
          <w:tcPr>
            <w:tcW w:type="dxa" w:w="368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Dropout (просторовий)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0,1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PULMOAI_SPATIAL_DROPOUT</w:t>
            </w:r>
          </w:p>
        </w:tc>
      </w:tr>
      <w:tr>
        <w:tc>
          <w:tcPr>
            <w:tcW w:type="dxa" w:w="368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Кількість епох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30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PULMOAI_EPOCHS</w:t>
            </w:r>
          </w:p>
        </w:tc>
      </w:tr>
      <w:tr>
        <w:tc>
          <w:tcPr>
            <w:tcW w:type="dxa" w:w="368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Терпіння ранньої зупинки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5 епох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PULMOAI_EARLY_STOPPING</w:t>
            </w:r>
          </w:p>
        </w:tc>
      </w:tr>
      <w:tr>
        <w:tc>
          <w:tcPr>
            <w:tcW w:type="dxa" w:w="368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Початкове значення генератора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42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PULMOAI_SEED</w:t>
            </w:r>
          </w:p>
        </w:tc>
      </w:tr>
      <w:tr>
        <w:tc>
          <w:tcPr>
            <w:tcW w:type="dxa" w:w="368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Потоків завантаження даних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8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PULMOAI_NUM_WORKERS</w:t>
            </w:r>
          </w:p>
        </w:tc>
      </w:tr>
      <w:tr>
        <w:tc>
          <w:tcPr>
            <w:tcW w:type="dxa" w:w="368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Оптимізатор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AdamW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—</w:t>
            </w:r>
          </w:p>
        </w:tc>
      </w:tr>
      <w:tr>
        <w:tc>
          <w:tcPr>
            <w:tcW w:type="dxa" w:w="368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Метрика відбору моделі</w:t>
            </w:r>
          </w:p>
        </w:tc>
        <w:tc>
          <w:tcPr>
            <w:tcW w:type="dxa" w:w="255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ROC-AUC (валідація)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—</w:t>
            </w:r>
          </w:p>
        </w:tc>
      </w:tr>
    </w:tbl>
    <w:p>
      <w:pPr>
        <w:spacing w:after="0"/>
      </w:pPr>
    </w:p>
    <w:p>
      <w:pPr>
        <w:spacing w:before="40" w:after="200" w:line="240" w:lineRule="auto"/>
        <w:ind w:firstLine="0"/>
      </w:pPr>
      <w:r>
        <w:rPr>
          <w:i/>
          <w:sz w:val="22"/>
        </w:rPr>
        <w:t>Таблиця 6.1 — Гіперпараметри першого повного запуску навчання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Крок навчання 3·10⁻⁴ вищий, ніж використовують за донавчання готової мережі, оскільки ваги стартують із випадкових значень; коефіцієнт регуляризації 1·10⁻⁴ посилено з огляду на ризик перенавчання.</w:t>
      </w:r>
    </w:p>
    <w:p>
      <w:pPr>
        <w:pStyle w:val="Heading1"/>
      </w:pPr>
      <w:r>
        <w:t>7. Автоматизовані перевірки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Кожен етап супроводжується сценарієм перевірки, який виконується однією командою і працює з реальними файлами набору даних.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0"/>
              </w:rPr>
              <w:t>Сценарій</w:t>
            </w:r>
          </w:p>
        </w:tc>
        <w:tc>
          <w:tcPr>
            <w:tcW w:type="dxa" w:w="4535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0"/>
              </w:rPr>
              <w:t>Що перевіряє</w:t>
            </w:r>
          </w:p>
        </w:tc>
        <w:tc>
          <w:tcPr>
            <w:tcW w:type="dxa" w:w="1984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0"/>
              </w:rPr>
              <w:t>Результат</w:t>
            </w:r>
          </w:p>
        </w:tc>
      </w:tr>
      <w:tr>
        <w:tc>
          <w:tcPr>
            <w:tcW w:type="dxa" w:w="2268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inspect_dataset.py</w:t>
            </w:r>
          </w:p>
        </w:tc>
        <w:tc>
          <w:tcPr>
            <w:tcW w:type="dxa" w:w="453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структура розмітки, зіставлення з файлами, статистика</w:t>
            </w:r>
          </w:p>
        </w:tc>
        <w:tc>
          <w:tcPr>
            <w:tcW w:type="dxa" w:w="1984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30 000 файлів, 0 помилок</w:t>
            </w:r>
          </w:p>
        </w:tc>
      </w:tr>
      <w:tr>
        <w:tc>
          <w:tcPr>
            <w:tcW w:type="dxa" w:w="2268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split_dataset.py</w:t>
            </w:r>
          </w:p>
        </w:tc>
        <w:tc>
          <w:tcPr>
            <w:tcW w:type="dxa" w:w="453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формування та відтворюваність розподілу вибірки</w:t>
            </w:r>
          </w:p>
        </w:tc>
        <w:tc>
          <w:tcPr>
            <w:tcW w:type="dxa" w:w="1984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0 спільних пацієнтів</w:t>
            </w:r>
          </w:p>
        </w:tc>
      </w:tr>
      <w:tr>
        <w:tc>
          <w:tcPr>
            <w:tcW w:type="dxa" w:w="2268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smoke_test.py</w:t>
            </w:r>
          </w:p>
        </w:tc>
        <w:tc>
          <w:tcPr>
            <w:tcW w:type="dxa" w:w="453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наскрізна перевірка: конфігурація → DICOM → Dataset → DataLoader</w:t>
            </w:r>
          </w:p>
        </w:tc>
        <w:tc>
          <w:tcPr>
            <w:tcW w:type="dxa" w:w="1984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107 / 107</w:t>
            </w:r>
          </w:p>
        </w:tc>
      </w:tr>
      <w:tr>
        <w:tc>
          <w:tcPr>
            <w:tcW w:type="dxa" w:w="2268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test_dataset.py</w:t>
            </w:r>
          </w:p>
        </w:tc>
        <w:tc>
          <w:tcPr>
            <w:tcW w:type="dxa" w:w="453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форми та типи тензорів, мітки, рамки, аугментація</w:t>
            </w:r>
          </w:p>
        </w:tc>
        <w:tc>
          <w:tcPr>
            <w:tcW w:type="dxa" w:w="1984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9 / 9</w:t>
            </w:r>
          </w:p>
        </w:tc>
      </w:tr>
      <w:tr>
        <w:tc>
          <w:tcPr>
            <w:tcW w:type="dxa" w:w="2268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test_metrics.py</w:t>
            </w:r>
          </w:p>
        </w:tc>
        <w:tc>
          <w:tcPr>
            <w:tcW w:type="dxa" w:w="453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коректність метрик проти прямого попарного визначення</w:t>
            </w:r>
          </w:p>
        </w:tc>
        <w:tc>
          <w:tcPr>
            <w:tcW w:type="dxa" w:w="1984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5 / 5</w:t>
            </w:r>
          </w:p>
        </w:tc>
      </w:tr>
      <w:tr>
        <w:tc>
          <w:tcPr>
            <w:tcW w:type="dxa" w:w="2268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smoke_train.py</w:t>
            </w:r>
          </w:p>
        </w:tc>
        <w:tc>
          <w:tcPr>
            <w:tcW w:type="dxa" w:w="453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побудова моделі, прямий і зворотний прохід, крок оптимізатора</w:t>
            </w:r>
          </w:p>
        </w:tc>
        <w:tc>
          <w:tcPr>
            <w:tcW w:type="dxa" w:w="1984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8 / 8</w:t>
            </w:r>
          </w:p>
        </w:tc>
      </w:tr>
      <w:tr>
        <w:tc>
          <w:tcPr>
            <w:tcW w:type="dxa" w:w="2268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pilot_run.py</w:t>
            </w:r>
          </w:p>
        </w:tc>
        <w:tc>
          <w:tcPr>
            <w:tcW w:type="dxa" w:w="453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перенавчання малої підвибірки — доказ, що втрати спадають</w:t>
            </w:r>
          </w:p>
        </w:tc>
        <w:tc>
          <w:tcPr>
            <w:tcW w:type="dxa" w:w="1984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3 / 3</w:t>
            </w:r>
          </w:p>
        </w:tc>
      </w:tr>
    </w:tbl>
    <w:p>
      <w:pPr>
        <w:spacing w:after="0"/>
      </w:pPr>
    </w:p>
    <w:p>
      <w:pPr>
        <w:spacing w:before="40" w:after="200" w:line="240" w:lineRule="auto"/>
        <w:ind w:firstLine="0"/>
      </w:pPr>
      <w:r>
        <w:rPr>
          <w:i/>
          <w:sz w:val="22"/>
        </w:rPr>
        <w:t>Таблиця 7.1 — Склад і результати перевірок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Пілотний запуск на фіксованій підвибірці з 32 зображень: значення функції втрат зменшилося з 1,0921 до 0,3579 за шість проходів (−67 %), площа під ROC-кривою на цій підвибірці зросла з 0,48 до 0,99. Це підтверджує працездатність конвеєра навчання; жодного висновку про якість моделі з цього не робиться, оскільки підвибірка надто мала.</w:t>
      </w:r>
    </w:p>
    <w:p>
      <w:pPr>
        <w:pStyle w:val="Heading2"/>
      </w:pPr>
      <w:r>
        <w:t>7.1. Обчислювальні характеристики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252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2"/>
              </w:rPr>
              <w:t>Показник</w:t>
            </w:r>
          </w:p>
        </w:tc>
        <w:tc>
          <w:tcPr>
            <w:tcW w:type="dxa" w:w="4535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2"/>
              </w:rPr>
              <w:t>Значення</w:t>
            </w:r>
          </w:p>
        </w:tc>
      </w:tr>
      <w:tr>
        <w:tc>
          <w:tcPr>
            <w:tcW w:type="dxa" w:w="4252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Обладнання</w:t>
            </w:r>
          </w:p>
        </w:tc>
        <w:tc>
          <w:tcPr>
            <w:tcW w:type="dxa" w:w="453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NVIDIA GeForce RTX 5070 Ti, 16 ГБ</w:t>
            </w:r>
          </w:p>
        </w:tc>
      </w:tr>
      <w:tr>
        <w:tc>
          <w:tcPr>
            <w:tcW w:type="dxa" w:w="4252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Прямий і зворотний прохід, пакет 32</w:t>
            </w:r>
          </w:p>
        </w:tc>
        <w:tc>
          <w:tcPr>
            <w:tcW w:type="dxa" w:w="453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29,7 мс, 1,19 ГіБ пам’яті</w:t>
            </w:r>
          </w:p>
        </w:tc>
      </w:tr>
      <w:tr>
        <w:tc>
          <w:tcPr>
            <w:tcW w:type="dxa" w:w="4252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Прямий і зворотний прохід, пакет 64</w:t>
            </w:r>
          </w:p>
        </w:tc>
        <w:tc>
          <w:tcPr>
            <w:tcW w:type="dxa" w:w="453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59,9 мс, 2,24 ГіБ пам’яті</w:t>
            </w:r>
          </w:p>
        </w:tc>
      </w:tr>
      <w:tr>
        <w:tc>
          <w:tcPr>
            <w:tcW w:type="dxa" w:w="4252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Час епохи на графічному процесорі</w:t>
            </w:r>
          </w:p>
        </w:tc>
        <w:tc>
          <w:tcPr>
            <w:tcW w:type="dxa" w:w="453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≈19 с</w:t>
            </w:r>
          </w:p>
        </w:tc>
      </w:tr>
      <w:tr>
        <w:tc>
          <w:tcPr>
            <w:tcW w:type="dxa" w:w="4252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Завантаження даних, 1 потік</w:t>
            </w:r>
          </w:p>
        </w:tc>
        <w:tc>
          <w:tcPr>
            <w:tcW w:type="dxa" w:w="453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≈35 мс на зображення</w:t>
            </w:r>
          </w:p>
        </w:tc>
      </w:tr>
      <w:tr>
        <w:tc>
          <w:tcPr>
            <w:tcW w:type="dxa" w:w="4252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Завантаження даних, 8 потоків</w:t>
            </w:r>
          </w:p>
        </w:tc>
        <w:tc>
          <w:tcPr>
            <w:tcW w:type="dxa" w:w="4535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≈5 мс на зображення (≈1,7 хв на епоху)</w:t>
            </w:r>
          </w:p>
        </w:tc>
      </w:tr>
    </w:tbl>
    <w:p>
      <w:pPr>
        <w:spacing w:after="0"/>
      </w:pPr>
    </w:p>
    <w:p>
      <w:pPr>
        <w:spacing w:before="40" w:after="200" w:line="240" w:lineRule="auto"/>
        <w:ind w:firstLine="0"/>
      </w:pPr>
      <w:r>
        <w:rPr>
          <w:i/>
          <w:sz w:val="22"/>
        </w:rPr>
        <w:t>Таблиця 7.2 — Виміряні обчислювальні характеристики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Тривалість епохи визначається не мережею, а декодуванням стиснених JPEG-даних DICOM. Тому кількість паралельних потоків завантаження встановлено рівною восьми: без цього графічний процесор простоював би більшу частину часу.</w:t>
      </w:r>
    </w:p>
    <w:p>
      <w:pPr>
        <w:pStyle w:val="Heading1"/>
      </w:pPr>
      <w:r>
        <w:t>8. Мобільний застосунок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Прикладну частину реалізовано на Flutter із дотриманням Material 3, адаптивною версткою та світлою і темною темами. На поточному етапі застосунок працює з імітаційною службою аналізу: інтерфейс і навігація повністю готові, а підключення навченої моделі не змінює жодного екрана.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701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2"/>
              </w:rPr>
              <w:t>Екран</w:t>
            </w:r>
          </w:p>
        </w:tc>
        <w:tc>
          <w:tcPr>
            <w:tcW w:type="dxa" w:w="7087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2"/>
              </w:rPr>
              <w:t>Призначення</w:t>
            </w:r>
          </w:p>
        </w:tc>
      </w:tr>
      <w:tr>
        <w:tc>
          <w:tcPr>
            <w:tcW w:type="dxa" w:w="170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Home</w:t>
            </w:r>
          </w:p>
        </w:tc>
        <w:tc>
          <w:tcPr>
            <w:tcW w:type="dxa" w:w="7087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опис застосунку, запуск аналізу, вибір зображення з галереї, зведення за попередніми аналізами</w:t>
            </w:r>
          </w:p>
        </w:tc>
      </w:tr>
      <w:tr>
        <w:tc>
          <w:tcPr>
            <w:tcW w:type="dxa" w:w="170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Analyze</w:t>
            </w:r>
          </w:p>
        </w:tc>
        <w:tc>
          <w:tcPr>
            <w:tcW w:type="dxa" w:w="7087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перегляд обраного знімка, заміна зображення, стан виконання аналізу з покроковою індикацією</w:t>
            </w:r>
          </w:p>
        </w:tc>
      </w:tr>
      <w:tr>
        <w:tc>
          <w:tcPr>
            <w:tcW w:type="dxa" w:w="170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Result</w:t>
            </w:r>
          </w:p>
        </w:tc>
        <w:tc>
          <w:tcPr>
            <w:tcW w:type="dxa" w:w="7087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вердикт, рівень упевненості, пояснювальний блок, шар візуалізації (рамки та теплова карта)</w:t>
            </w:r>
          </w:p>
        </w:tc>
      </w:tr>
      <w:tr>
        <w:tc>
          <w:tcPr>
            <w:tcW w:type="dxa" w:w="1701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History</w:t>
            </w:r>
          </w:p>
        </w:tc>
        <w:tc>
          <w:tcPr>
            <w:tcW w:type="dxa" w:w="7087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перелік попередніх аналізів із фільтрами за результатом, датою та рівнем упевненості</w:t>
            </w:r>
          </w:p>
        </w:tc>
      </w:tr>
    </w:tbl>
    <w:p>
      <w:pPr>
        <w:spacing w:after="0"/>
      </w:pPr>
    </w:p>
    <w:p>
      <w:pPr>
        <w:spacing w:before="40" w:after="200" w:line="240" w:lineRule="auto"/>
        <w:ind w:firstLine="0"/>
      </w:pPr>
      <w:r>
        <w:rPr>
          <w:i/>
          <w:sz w:val="22"/>
        </w:rPr>
        <w:t>Таблиця 8.1 — Екрани застосунку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Архітектура застосунку побудована так, щоб заміна імітаційної служби на реальну модель вимагала зміни одного рядка у точці збирання залежностей. Модель результату вже описує обмежувальні рамки в нормалізованих координатах — тому саме такому формату відповідає вихід конвеєра підготовки даних.</w:t>
      </w:r>
    </w:p>
    <w:p>
      <w:pPr>
        <w:pStyle w:val="Heading1"/>
      </w:pPr>
      <w:r>
        <w:t>9. Програмні засоби та структура проєкту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969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2"/>
              </w:rPr>
              <w:t>Складова</w:t>
            </w:r>
          </w:p>
        </w:tc>
        <w:tc>
          <w:tcPr>
            <w:tcW w:type="dxa" w:w="4819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2"/>
              </w:rPr>
              <w:t>Засоби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Мова та середовище дослідницької частини</w:t>
            </w:r>
          </w:p>
        </w:tc>
        <w:tc>
          <w:tcPr>
            <w:tcW w:type="dxa" w:w="481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Python 3.12, віртуальне середовище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Робота з DICOM</w:t>
            </w:r>
          </w:p>
        </w:tc>
        <w:tc>
          <w:tcPr>
            <w:tcW w:type="dxa" w:w="481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pydicom 3.0, pylibjpeg (декодування JPEG Baseline)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Оброблення табличних даних</w:t>
            </w:r>
          </w:p>
        </w:tc>
        <w:tc>
          <w:tcPr>
            <w:tcW w:type="dxa" w:w="481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pandas, numpy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Нейронні мережі</w:t>
            </w:r>
          </w:p>
        </w:tc>
        <w:tc>
          <w:tcPr>
            <w:tcW w:type="dxa" w:w="481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PyTorch 2.10 (збірка з підтримкою CUDA 13.0)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Мобільний застосунок</w:t>
            </w:r>
          </w:p>
        </w:tc>
        <w:tc>
          <w:tcPr>
            <w:tcW w:type="dxa" w:w="481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Flutter, Material 3, Dart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Обладнання</w:t>
            </w:r>
          </w:p>
        </w:tc>
        <w:tc>
          <w:tcPr>
            <w:tcW w:type="dxa" w:w="481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2"/>
              </w:rPr>
              <w:t>NVIDIA GeForce RTX 5070 Ti, 16 ГБ</w:t>
            </w:r>
          </w:p>
        </w:tc>
      </w:tr>
    </w:tbl>
    <w:p>
      <w:pPr>
        <w:spacing w:after="0"/>
      </w:pPr>
    </w:p>
    <w:p>
      <w:pPr>
        <w:spacing w:before="40" w:after="200" w:line="240" w:lineRule="auto"/>
        <w:ind w:firstLine="0"/>
      </w:pPr>
      <w:r>
        <w:rPr>
          <w:i/>
          <w:sz w:val="22"/>
        </w:rPr>
        <w:t>Таблиця 9.1 — Програмні та апаратні засоби</w:t>
      </w:r>
    </w:p>
    <w:p>
      <w:pPr>
        <w:spacing w:before="80" w:after="160" w:line="240" w:lineRule="auto"/>
        <w:ind w:firstLine="0" w:left="340"/>
      </w:pPr>
      <w:r>
        <w:rPr>
          <w:rFonts w:ascii="Consolas" w:hAnsi="Consolas" w:eastAsia="Consolas"/>
          <w:sz w:val="18"/>
        </w:rPr>
        <w:t>ai/</w:t>
        <w:br/>
        <w:t>├── src/config.py                єдина точка конфігурації</w:t>
        <w:br/>
        <w:t>├── src/data/</w:t>
        <w:br/>
        <w:t>│   ├── inspect_dataset.py       аналіз набору та зіставлення розмітки</w:t>
        <w:br/>
        <w:t>│   ├── split_dataset.py         розподіл вибірки за пацієнтами</w:t>
        <w:br/>
        <w:t>│   ├── preprocessing.py         конвеєр оброблення зображень</w:t>
        <w:br/>
        <w:t>│   ├── dataset.py               Dataset і DataLoader</w:t>
        <w:br/>
        <w:t>│   └── smoke_test.py, test_dataset.py</w:t>
        <w:br/>
        <w:t>├── src/models/pulmonet.py       мережа PulmoNet-7M</w:t>
        <w:br/>
        <w:t>├── src/training/</w:t>
        <w:br/>
        <w:t>│   ├── losses.py, metrics.py    функція втрат і метрики</w:t>
        <w:br/>
        <w:t>│   ├── train.py                 цикл навчання та валідації</w:t>
        <w:br/>
        <w:t>│   ├── evaluate.py              оцінювання (єдине місце читання тесту)</w:t>
        <w:br/>
        <w:t>│   └── smoke_train.py, pilot_run.py, test_metrics.py</w:t>
        <w:br/>
        <w:t>├── data/processed/              таблиці відображення та розподілу</w:t>
        <w:br/>
        <w:t>└── experiments/                 результати запусків навчання</w:t>
        <w:br/>
        <w:br/>
        <w:t>lib/                             мобільний застосунок Flutter</w:t>
        <w:br/>
        <w:t>├── app/                         тема, маршрути, залежності</w:t>
        <w:br/>
        <w:t>├── models/, services/           моделі даних і служби</w:t>
        <w:br/>
        <w:t>├── screens/                     Home, Analyze, Result, History</w:t>
        <w:br/>
        <w:t>└── widgets/                     повторно використовувані елементи</w:t>
      </w:r>
    </w:p>
    <w:p>
      <w:pPr>
        <w:spacing w:before="40" w:after="200" w:line="240" w:lineRule="auto"/>
        <w:ind w:firstLine="0"/>
      </w:pPr>
      <w:r>
        <w:rPr>
          <w:i/>
          <w:sz w:val="22"/>
        </w:rPr>
        <w:t>Рисунок 9.1 — Структура репозиторію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Усі шляхи до набору даних і гіперпараметри зосереджені в одному модулі конфігурації та перевизначаються змінними середовища, тому розташування набору не зафіксоване в коді.</w:t>
      </w:r>
    </w:p>
    <w:p>
      <w:pPr>
        <w:pStyle w:val="Heading1"/>
      </w:pPr>
      <w:r>
        <w:t>10. Виявлені проблеми та прийняті рішення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969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0"/>
              </w:rPr>
              <w:t>Проблема</w:t>
            </w:r>
          </w:p>
        </w:tc>
        <w:tc>
          <w:tcPr>
            <w:tcW w:type="dxa" w:w="4819"/>
            <w:shd w:val="clear" w:color="auto" w:fill="DCE6F1"/>
          </w:tcPr>
          <w:p>
            <w:pPr>
              <w:spacing w:after="0" w:line="240" w:lineRule="auto"/>
              <w:ind w:firstLine="0"/>
            </w:pPr>
            <w:r/>
            <w:r>
              <w:rPr>
                <w:b/>
                <w:sz w:val="20"/>
              </w:rPr>
              <w:t>Рішення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Пікселі DICOM стиснено JPEG Baseline; бібліотека pydicom самостійно їх не декодує</w:t>
            </w:r>
          </w:p>
        </w:tc>
        <w:tc>
          <w:tcPr>
            <w:tcW w:type="dxa" w:w="481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додано декодери pylibjpeg; ідентифікатор синтаксису передавання зафіксовано в таблиці відображення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83 809 анотацій містять суперечливі первинні читання кількох груп рентгенологів</w:t>
            </w:r>
          </w:p>
        </w:tc>
        <w:tc>
          <w:tcPr>
            <w:tcW w:type="dxa" w:w="481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як еталон використовується лише узгоджена група Calculated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316 зображень не мають остаточної мітки</w:t>
            </w:r>
          </w:p>
        </w:tc>
        <w:tc>
          <w:tcPr>
            <w:tcW w:type="dxa" w:w="481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виключено з навчання зі збереженням ознаки та первинних міток для простежуваності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Назви міток в експорті містять кінцеві пробіли</w:t>
            </w:r>
          </w:p>
        </w:tc>
        <w:tc>
          <w:tcPr>
            <w:tcW w:type="dxa" w:w="481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нормалізація рядків під час читання, інакше групування помилкове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Незбалансованість класів (23,9 % позитивних)</w:t>
            </w:r>
          </w:p>
        </w:tc>
        <w:tc>
          <w:tcPr>
            <w:tcW w:type="dxa" w:w="481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зважування позитивного класу у функції втрат, обчислене лише за навчальною вибіркою; звітування AUPRC поряд із ROC-AUC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Поворот під час аугментації породжував вироджені обмежувальні рамки</w:t>
            </w:r>
          </w:p>
        </w:tc>
        <w:tc>
          <w:tcPr>
            <w:tcW w:type="dxa" w:w="481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додано відкидання рамок зі стороною менш ніж 1 піксель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Завантаження даних обмежувало швидкість навчання</w:t>
            </w:r>
          </w:p>
        </w:tc>
        <w:tc>
          <w:tcPr>
            <w:tcW w:type="dxa" w:w="481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вимірювання показало 35 мс на зображення в один потік; встановлено вісім паралельних потоків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Помилка кодування виводу в консолі Windows (cp1251)</w:t>
            </w:r>
          </w:p>
        </w:tc>
        <w:tc>
          <w:tcPr>
            <w:tcW w:type="dxa" w:w="481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примусове перемикання стандартного виводу на UTF-8 у сценаріях</w:t>
            </w:r>
          </w:p>
        </w:tc>
      </w:tr>
      <w:tr>
        <w:tc>
          <w:tcPr>
            <w:tcW w:type="dxa" w:w="396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Збірка Gradle переривалася через пошкоджений інкрементний кеш Kotlin</w:t>
            </w:r>
          </w:p>
        </w:tc>
        <w:tc>
          <w:tcPr>
            <w:tcW w:type="dxa" w:w="4819"/>
          </w:tcPr>
          <w:p>
            <w:pPr>
              <w:spacing w:after="0" w:line="240" w:lineRule="auto"/>
              <w:ind w:firstLine="0"/>
            </w:pPr>
            <w:r/>
            <w:r>
              <w:rPr>
                <w:sz w:val="20"/>
              </w:rPr>
              <w:t>інкрементну компіляцію Kotlin вимкнено; збірка застосунку стабільна</w:t>
            </w:r>
          </w:p>
        </w:tc>
      </w:tr>
    </w:tbl>
    <w:p>
      <w:pPr>
        <w:spacing w:after="0"/>
      </w:pPr>
    </w:p>
    <w:p>
      <w:pPr>
        <w:spacing w:before="40" w:after="200" w:line="240" w:lineRule="auto"/>
        <w:ind w:firstLine="0"/>
      </w:pPr>
      <w:r>
        <w:rPr>
          <w:i/>
          <w:sz w:val="22"/>
        </w:rPr>
        <w:t>Таблиця 10.1 — Проблеми, виявлені під час виконання роботи</w:t>
      </w:r>
    </w:p>
    <w:p>
      <w:pPr>
        <w:pStyle w:val="Heading1"/>
      </w:pPr>
      <w:r>
        <w:t>11. Поточний стан і подальші кроки</w:t>
      </w:r>
    </w:p>
    <w:p>
      <w:pPr>
        <w:spacing w:after="40"/>
        <w:ind w:firstLine="0"/>
        <w:jc w:val="both"/>
      </w:pPr>
      <w:r>
        <w:rPr>
          <w:b/>
          <w:i w:val="0"/>
        </w:rPr>
        <w:t>Виконано:</w:t>
      </w:r>
    </w:p>
    <w:p>
      <w:pPr>
        <w:pStyle w:val="ListBullet"/>
      </w:pPr>
      <w:r>
        <w:t>аналіз набору даних і побудова відображення розмітки на файли;</w:t>
      </w:r>
    </w:p>
    <w:p>
      <w:pPr>
        <w:pStyle w:val="ListBullet"/>
      </w:pPr>
      <w:r>
        <w:t>конвеєр попереднього оброблення та класи Dataset і DataLoader;</w:t>
      </w:r>
    </w:p>
    <w:p>
      <w:pPr>
        <w:pStyle w:val="ListBullet"/>
      </w:pPr>
      <w:r>
        <w:t>розподіл вибірки на рівні пацієнта зі стратифікацією;</w:t>
      </w:r>
    </w:p>
    <w:p>
      <w:pPr>
        <w:pStyle w:val="ListBullet"/>
      </w:pPr>
      <w:r>
        <w:t>проєктування та реалізація мережі PulmoNet-7M;</w:t>
      </w:r>
    </w:p>
    <w:p>
      <w:pPr>
        <w:pStyle w:val="ListBullet"/>
      </w:pPr>
      <w:r>
        <w:t>інфраструктура навчання, валідації та оцінювання;</w:t>
      </w:r>
    </w:p>
    <w:p>
      <w:pPr>
        <w:pStyle w:val="ListBullet"/>
      </w:pPr>
      <w:r>
        <w:t>інтерфейс і навігація мобільного застосунку;</w:t>
      </w:r>
    </w:p>
    <w:p>
      <w:pPr>
        <w:pStyle w:val="ListBullet"/>
      </w:pPr>
      <w:r>
        <w:t>повний набір автоматизованих перевірок.</w:t>
      </w:r>
    </w:p>
    <w:p>
      <w:pPr>
        <w:spacing w:after="40"/>
        <w:ind w:firstLine="0"/>
        <w:jc w:val="both"/>
      </w:pPr>
      <w:r>
        <w:rPr>
          <w:b/>
          <w:i w:val="0"/>
        </w:rPr>
        <w:t>Заплановано:</w:t>
      </w:r>
    </w:p>
    <w:p>
      <w:pPr>
        <w:pStyle w:val="ListBullet"/>
      </w:pPr>
      <w:r>
        <w:t>повний цикл навчання мережі (30 епох із ранньою зупинкою);</w:t>
      </w:r>
    </w:p>
    <w:p>
      <w:pPr>
        <w:pStyle w:val="ListBullet"/>
      </w:pPr>
      <w:r>
        <w:t>оцінювання на тестовій вибірці за обраною контрольною точкою;</w:t>
      </w:r>
    </w:p>
    <w:p>
      <w:pPr>
        <w:pStyle w:val="ListBullet"/>
      </w:pPr>
      <w:r>
        <w:t>побудова ROC- і PR-кривих, матриці помилок, добір порогу рішення;</w:t>
      </w:r>
    </w:p>
    <w:p>
      <w:pPr>
        <w:pStyle w:val="ListBullet"/>
      </w:pPr>
      <w:r>
        <w:t>візуалізація активацій (теплова карта) для пояснення результату;</w:t>
      </w:r>
    </w:p>
    <w:p>
      <w:pPr>
        <w:pStyle w:val="ListBullet"/>
      </w:pPr>
      <w:r>
        <w:t>експорт моделі у мобільний формат та інтеграція в застосунок;</w:t>
      </w:r>
    </w:p>
    <w:p>
      <w:pPr>
        <w:pStyle w:val="ListBullet"/>
      </w:pPr>
      <w:r>
        <w:t>оформлення результатів експериментів у тексті роботи.</w:t>
      </w:r>
    </w:p>
    <w:p>
      <w:pPr>
        <w:pStyle w:val="Heading1"/>
      </w:pPr>
      <w:r>
        <w:t>12. Джерела</w:t>
      </w:r>
    </w:p>
    <w:p>
      <w:pPr>
        <w:pStyle w:val="ListBullet"/>
      </w:pPr>
      <w:r>
        <w:t>RSNA Pneumonia Detection Challenge (2018). Radiological Society of North America. Набір даних із узгодженою розміткою.</w:t>
      </w:r>
    </w:p>
    <w:p>
      <w:pPr>
        <w:pStyle w:val="ListBullet"/>
      </w:pPr>
      <w:r>
        <w:t>MD.ai — платформа анотування медичних зображень; формат експорту проєкту використано як джерело розмітки.</w:t>
      </w:r>
    </w:p>
    <w:p>
      <w:pPr>
        <w:pStyle w:val="ListBullet"/>
      </w:pPr>
      <w:r>
        <w:t>DICOM PS3.5: Data Structures and Encoding — специфікація формату зберігання та синтаксисів передавання.</w:t>
      </w:r>
    </w:p>
    <w:p>
      <w:pPr>
        <w:pStyle w:val="ListBullet"/>
      </w:pPr>
      <w:r>
        <w:t>Документація бібліотек pydicom, pylibjpeg, PyTorch, Flutter.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2"/>
      </w:rPr>
      <w:fldChar w:fldCharType="begin"/>
      <w:instrText xml:space="preserve"> PAGE </w:instrText>
      <w:fldChar w:fldCharType="separate"/>
      <w:t>...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E527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E527C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76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E527C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80"/>
      <w:ind w:firstLine="0" w:left="567"/>
      <w:contextualSpacing/>
    </w:pPr>
    <w:rPr>
      <w:rFonts w:ascii="Times New Roman" w:hAnsi="Times New Roman"/>
      <w:sz w:val="2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80"/>
      <w:ind w:firstLine="0" w:left="567"/>
      <w:contextualSpacing/>
    </w:pPr>
    <w:rPr>
      <w:rFonts w:ascii="Times New Roman" w:hAnsi="Times New Roman"/>
      <w:sz w:val="2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