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ind w:firstLine="0"/>
        <w:jc w:val="center"/>
      </w:pPr>
      <w:r>
        <w:rPr>
          <w:rFonts w:ascii="Times New Roman" w:hAnsi="Times New Roman"/>
          <w:b w:val="0"/>
          <w:i w:val="0"/>
          <w:sz w:val="28"/>
        </w:rPr>
        <w:t>Міністерство освіти і науки України</w:t>
      </w:r>
    </w:p>
    <w:p>
      <w:pPr>
        <w:spacing w:after="0" w:line="276" w:lineRule="auto"/>
        <w:ind w:firstLine="0"/>
        <w:jc w:val="center"/>
      </w:pPr>
      <w:r>
        <w:rPr>
          <w:rFonts w:ascii="Times New Roman" w:hAnsi="Times New Roman"/>
          <w:b/>
          <w:i w:val="0"/>
          <w:sz w:val="28"/>
        </w:rPr>
        <w:t>НАЦІОНАЛЬНИЙ ТЕХНІЧНИЙ УНІВЕРСИТЕТ</w:t>
      </w:r>
    </w:p>
    <w:p>
      <w:pPr>
        <w:spacing w:after="360" w:line="276" w:lineRule="auto"/>
        <w:ind w:firstLine="0"/>
        <w:jc w:val="center"/>
      </w:pPr>
      <w:r>
        <w:rPr>
          <w:rFonts w:ascii="Times New Roman" w:hAnsi="Times New Roman"/>
          <w:b/>
          <w:i w:val="0"/>
          <w:sz w:val="28"/>
        </w:rPr>
        <w:t>«ДНІПРОВСЬКА ПОЛІТЕХНІКА»</w:t>
      </w:r>
    </w:p>
    <w:p>
      <w:pPr>
        <w:spacing w:after="0" w:line="276" w:lineRule="auto"/>
        <w:ind w:firstLine="0"/>
        <w:jc w:val="center"/>
      </w:pPr>
      <w:r>
        <w:rPr>
          <w:rFonts w:ascii="Times New Roman" w:hAnsi="Times New Roman"/>
          <w:b w:val="0"/>
          <w:i w:val="0"/>
          <w:sz w:val="26"/>
        </w:rPr>
        <w:t>Факультет інформаційних технологій</w:t>
      </w:r>
    </w:p>
    <w:p>
      <w:pPr>
        <w:spacing w:after="0" w:line="276" w:lineRule="auto"/>
        <w:ind w:firstLine="0"/>
        <w:jc w:val="center"/>
      </w:pPr>
      <w:r>
        <w:rPr>
          <w:rFonts w:ascii="Times New Roman" w:hAnsi="Times New Roman"/>
          <w:b w:val="0"/>
          <w:i/>
          <w:sz w:val="18"/>
        </w:rPr>
        <w:t>(факультет)</w:t>
      </w:r>
    </w:p>
    <w:p>
      <w:pPr>
        <w:spacing w:after="0" w:line="276" w:lineRule="auto"/>
        <w:ind w:firstLine="0"/>
        <w:jc w:val="center"/>
      </w:pPr>
      <w:r>
        <w:rPr>
          <w:rFonts w:ascii="Times New Roman" w:hAnsi="Times New Roman"/>
          <w:b w:val="0"/>
          <w:i w:val="0"/>
          <w:sz w:val="26"/>
        </w:rPr>
        <w:t>Кафедра програмного забезпечення комп'ютерних систем</w:t>
      </w:r>
    </w:p>
    <w:p>
      <w:pPr>
        <w:spacing w:after="400" w:line="276" w:lineRule="auto"/>
        <w:ind w:firstLine="0"/>
        <w:jc w:val="center"/>
      </w:pPr>
      <w:r>
        <w:rPr>
          <w:rFonts w:ascii="Times New Roman" w:hAnsi="Times New Roman"/>
          <w:b w:val="0"/>
          <w:i/>
          <w:sz w:val="18"/>
        </w:rPr>
        <w:t>(повна назва)</w:t>
      </w:r>
    </w:p>
    <w:p>
      <w:pPr>
        <w:spacing w:after="0" w:line="276" w:lineRule="auto"/>
        <w:ind w:firstLine="0"/>
        <w:jc w:val="center"/>
      </w:pPr>
      <w:r>
        <w:rPr>
          <w:rFonts w:ascii="Times New Roman" w:hAnsi="Times New Roman"/>
          <w:b/>
          <w:i w:val="0"/>
          <w:sz w:val="32"/>
        </w:rPr>
        <w:t>ПОЯСНЮВАЛЬНА ЗАПИСКА</w:t>
      </w:r>
    </w:p>
    <w:p>
      <w:pPr>
        <w:spacing w:after="0" w:line="276" w:lineRule="auto"/>
        <w:ind w:firstLine="0"/>
        <w:jc w:val="center"/>
      </w:pPr>
      <w:r>
        <w:rPr>
          <w:rFonts w:ascii="Times New Roman" w:hAnsi="Times New Roman"/>
          <w:b w:val="0"/>
          <w:i w:val="0"/>
          <w:sz w:val="28"/>
        </w:rPr>
        <w:t>кваліфікаційної роботи ступеня  магістра</w:t>
      </w:r>
    </w:p>
    <w:p>
      <w:pPr>
        <w:spacing w:after="360" w:line="276" w:lineRule="auto"/>
        <w:ind w:firstLine="0"/>
        <w:jc w:val="center"/>
      </w:pPr>
      <w:r>
        <w:rPr>
          <w:rFonts w:ascii="Times New Roman" w:hAnsi="Times New Roman"/>
          <w:b w:val="0"/>
          <w:i/>
          <w:sz w:val="18"/>
        </w:rPr>
        <w:t>(назва освітнього ступеня)</w:t>
      </w:r>
    </w:p>
    <w:p>
      <w:pPr>
        <w:spacing w:after="0" w:line="276" w:lineRule="auto"/>
        <w:ind w:firstLine="0"/>
        <w:jc w:val="center"/>
      </w:pPr>
      <w:r>
        <w:rPr>
          <w:rFonts w:ascii="Times New Roman" w:hAnsi="Times New Roman"/>
          <w:b w:val="0"/>
          <w:i w:val="0"/>
          <w:sz w:val="26"/>
        </w:rPr>
        <w:t>студента ________________________________________________</w:t>
      </w:r>
    </w:p>
    <w:p>
      <w:pPr>
        <w:spacing w:after="0" w:line="276" w:lineRule="auto"/>
        <w:ind w:firstLine="0"/>
        <w:jc w:val="center"/>
      </w:pPr>
      <w:r>
        <w:rPr>
          <w:rFonts w:ascii="Times New Roman" w:hAnsi="Times New Roman"/>
          <w:b w:val="0"/>
          <w:i/>
          <w:sz w:val="18"/>
        </w:rPr>
        <w:t>(прізвище, ім'я, по батькові)</w:t>
      </w:r>
    </w:p>
    <w:p>
      <w:pPr>
        <w:spacing w:after="0" w:line="276" w:lineRule="auto"/>
        <w:ind w:firstLine="0"/>
        <w:jc w:val="center"/>
      </w:pPr>
      <w:r>
        <w:rPr>
          <w:rFonts w:ascii="Times New Roman" w:hAnsi="Times New Roman"/>
          <w:b w:val="0"/>
          <w:i w:val="0"/>
          <w:sz w:val="26"/>
        </w:rPr>
        <w:t>академічної групи ______________________</w:t>
      </w:r>
    </w:p>
    <w:p>
      <w:pPr>
        <w:spacing w:after="0" w:line="276" w:lineRule="auto"/>
        <w:ind w:firstLine="0"/>
        <w:jc w:val="center"/>
      </w:pPr>
      <w:r>
        <w:rPr>
          <w:rFonts w:ascii="Times New Roman" w:hAnsi="Times New Roman"/>
          <w:b w:val="0"/>
          <w:i/>
          <w:sz w:val="18"/>
        </w:rPr>
        <w:t>(шифр групи)</w:t>
      </w:r>
    </w:p>
    <w:p>
      <w:pPr>
        <w:spacing w:after="0" w:line="276" w:lineRule="auto"/>
        <w:ind w:firstLine="0"/>
        <w:jc w:val="center"/>
      </w:pPr>
      <w:r>
        <w:rPr>
          <w:rFonts w:ascii="Times New Roman" w:hAnsi="Times New Roman"/>
          <w:b w:val="0"/>
          <w:i w:val="0"/>
          <w:sz w:val="26"/>
        </w:rPr>
        <w:t>спеціальності 122 Комп'ютерні науки</w:t>
      </w:r>
    </w:p>
    <w:p>
      <w:pPr>
        <w:spacing w:after="240" w:line="276" w:lineRule="auto"/>
        <w:ind w:firstLine="0"/>
        <w:jc w:val="center"/>
      </w:pPr>
      <w:r>
        <w:rPr>
          <w:rFonts w:ascii="Times New Roman" w:hAnsi="Times New Roman"/>
          <w:b w:val="0"/>
          <w:i w:val="0"/>
          <w:sz w:val="26"/>
        </w:rPr>
        <w:t>за освітньо-професійною програмою «Комп'ютерні науки»</w:t>
      </w:r>
    </w:p>
    <w:p>
      <w:pPr>
        <w:spacing w:after="0" w:line="276" w:lineRule="auto"/>
        <w:ind w:firstLine="0"/>
        <w:jc w:val="center"/>
      </w:pPr>
      <w:r>
        <w:rPr>
          <w:rFonts w:ascii="Times New Roman" w:hAnsi="Times New Roman"/>
          <w:b w:val="0"/>
          <w:i w:val="0"/>
          <w:sz w:val="26"/>
        </w:rPr>
        <w:t>на тему:</w:t>
      </w:r>
    </w:p>
    <w:p>
      <w:pPr>
        <w:spacing w:after="360" w:line="276" w:lineRule="auto"/>
        <w:ind w:firstLine="0"/>
        <w:jc w:val="center"/>
      </w:pPr>
      <w:r>
        <w:rPr>
          <w:rFonts w:ascii="Times New Roman" w:hAnsi="Times New Roman"/>
          <w:b/>
          <w:i w:val="0"/>
          <w:sz w:val="28"/>
        </w:rPr>
        <w:t>«Модель та програмне забезпечення виявлення пневмонії на рентгенограмах органів грудної клітки на основі згорткової нейронної мережі»</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061"/>
          </w:tcPr>
          <w:p>
            <w:pPr>
              <w:spacing w:line="240" w:lineRule="auto" w:after="0"/>
              <w:ind w:firstLine="0"/>
              <w:jc w:val="center"/>
            </w:pPr>
            <w:r/>
            <w:r>
              <w:rPr>
                <w:rFonts w:ascii="Times New Roman" w:hAnsi="Times New Roman"/>
                <w:b/>
                <w:sz w:val="22"/>
              </w:rPr>
              <w:t>Керівники</w:t>
            </w:r>
          </w:p>
        </w:tc>
        <w:tc>
          <w:tcPr>
            <w:tcW w:type="dxa" w:w="2608"/>
          </w:tcPr>
          <w:p>
            <w:pPr>
              <w:spacing w:line="240" w:lineRule="auto" w:after="0"/>
              <w:ind w:firstLine="0"/>
              <w:jc w:val="center"/>
            </w:pPr>
            <w:r/>
            <w:r>
              <w:rPr>
                <w:rFonts w:ascii="Times New Roman" w:hAnsi="Times New Roman"/>
                <w:b/>
                <w:sz w:val="22"/>
              </w:rPr>
              <w:t>Прізвище, ініціали</w:t>
            </w:r>
          </w:p>
        </w:tc>
        <w:tc>
          <w:tcPr>
            <w:tcW w:type="dxa" w:w="2268"/>
          </w:tcPr>
          <w:p>
            <w:pPr>
              <w:spacing w:line="240" w:lineRule="auto" w:after="0"/>
              <w:ind w:firstLine="0"/>
              <w:jc w:val="center"/>
            </w:pPr>
            <w:r/>
            <w:r>
              <w:rPr>
                <w:rFonts w:ascii="Times New Roman" w:hAnsi="Times New Roman"/>
                <w:b/>
                <w:sz w:val="22"/>
              </w:rPr>
              <w:t>Оцінка за шкалою</w:t>
            </w:r>
          </w:p>
        </w:tc>
        <w:tc>
          <w:tcPr>
            <w:tcW w:type="dxa" w:w="1701"/>
          </w:tcPr>
          <w:p>
            <w:pPr>
              <w:spacing w:line="240" w:lineRule="auto" w:after="0"/>
              <w:ind w:firstLine="0"/>
              <w:jc w:val="center"/>
            </w:pPr>
            <w:r/>
            <w:r>
              <w:rPr>
                <w:rFonts w:ascii="Times New Roman" w:hAnsi="Times New Roman"/>
                <w:b/>
                <w:sz w:val="22"/>
              </w:rPr>
              <w:t>Підпис</w:t>
            </w:r>
          </w:p>
        </w:tc>
      </w:tr>
      <w:tr>
        <w:tc>
          <w:tcPr>
            <w:tcW w:type="dxa" w:w="3061"/>
          </w:tcPr>
          <w:p>
            <w:pPr>
              <w:spacing w:line="240" w:lineRule="auto" w:after="0"/>
              <w:ind w:firstLine="0"/>
            </w:pPr>
            <w:r/>
            <w:r>
              <w:rPr>
                <w:rFonts w:ascii="Times New Roman" w:hAnsi="Times New Roman"/>
                <w:sz w:val="22"/>
              </w:rPr>
              <w:t>кваліфікаційної роботи</w:t>
            </w:r>
          </w:p>
        </w:tc>
        <w:tc>
          <w:tcPr>
            <w:tcW w:type="dxa" w:w="2608"/>
          </w:tcPr>
          <w:p>
            <w:pPr>
              <w:spacing w:line="240" w:lineRule="auto" w:after="0"/>
              <w:ind w:firstLine="0"/>
            </w:pPr>
            <w:r/>
            <w:r>
              <w:rPr>
                <w:rFonts w:ascii="Times New Roman" w:hAnsi="Times New Roman"/>
                <w:sz w:val="22"/>
              </w:rPr>
            </w:r>
          </w:p>
        </w:tc>
        <w:tc>
          <w:tcPr>
            <w:tcW w:type="dxa" w:w="2268"/>
          </w:tcPr>
          <w:p>
            <w:pPr>
              <w:spacing w:line="240" w:lineRule="auto" w:after="0"/>
              <w:ind w:firstLine="0"/>
            </w:pPr>
            <w:r/>
            <w:r>
              <w:rPr>
                <w:rFonts w:ascii="Times New Roman" w:hAnsi="Times New Roman"/>
                <w:sz w:val="22"/>
              </w:rPr>
            </w:r>
          </w:p>
        </w:tc>
        <w:tc>
          <w:tcPr>
            <w:tcW w:type="dxa" w:w="1701"/>
          </w:tcPr>
          <w:p>
            <w:pPr>
              <w:spacing w:line="240" w:lineRule="auto" w:after="0"/>
              <w:ind w:firstLine="0"/>
            </w:pPr>
            <w:r/>
            <w:r>
              <w:rPr>
                <w:rFonts w:ascii="Times New Roman" w:hAnsi="Times New Roman"/>
                <w:sz w:val="22"/>
              </w:rPr>
            </w:r>
          </w:p>
        </w:tc>
      </w:tr>
      <w:tr>
        <w:tc>
          <w:tcPr>
            <w:tcW w:type="dxa" w:w="3061"/>
          </w:tcPr>
          <w:p>
            <w:pPr>
              <w:spacing w:line="240" w:lineRule="auto" w:after="0"/>
              <w:ind w:firstLine="0"/>
            </w:pPr>
            <w:r/>
            <w:r>
              <w:rPr>
                <w:rFonts w:ascii="Times New Roman" w:hAnsi="Times New Roman"/>
                <w:sz w:val="22"/>
              </w:rPr>
              <w:t>розділів:</w:t>
            </w:r>
          </w:p>
        </w:tc>
        <w:tc>
          <w:tcPr>
            <w:tcW w:type="dxa" w:w="2608"/>
          </w:tcPr>
          <w:p>
            <w:pPr>
              <w:spacing w:line="240" w:lineRule="auto" w:after="0"/>
              <w:ind w:firstLine="0"/>
            </w:pPr>
            <w:r/>
            <w:r>
              <w:rPr>
                <w:rFonts w:ascii="Times New Roman" w:hAnsi="Times New Roman"/>
                <w:sz w:val="22"/>
              </w:rPr>
            </w:r>
          </w:p>
        </w:tc>
        <w:tc>
          <w:tcPr>
            <w:tcW w:type="dxa" w:w="2268"/>
          </w:tcPr>
          <w:p>
            <w:pPr>
              <w:spacing w:line="240" w:lineRule="auto" w:after="0"/>
              <w:ind w:firstLine="0"/>
            </w:pPr>
            <w:r/>
            <w:r>
              <w:rPr>
                <w:rFonts w:ascii="Times New Roman" w:hAnsi="Times New Roman"/>
                <w:sz w:val="22"/>
              </w:rPr>
            </w:r>
          </w:p>
        </w:tc>
        <w:tc>
          <w:tcPr>
            <w:tcW w:type="dxa" w:w="1701"/>
          </w:tcPr>
          <w:p>
            <w:pPr>
              <w:spacing w:line="240" w:lineRule="auto" w:after="0"/>
              <w:ind w:firstLine="0"/>
            </w:pPr>
            <w:r/>
            <w:r>
              <w:rPr>
                <w:rFonts w:ascii="Times New Roman" w:hAnsi="Times New Roman"/>
                <w:sz w:val="22"/>
              </w:rPr>
            </w:r>
          </w:p>
        </w:tc>
      </w:tr>
      <w:tr>
        <w:tc>
          <w:tcPr>
            <w:tcW w:type="dxa" w:w="3061"/>
          </w:tcPr>
          <w:p>
            <w:pPr>
              <w:spacing w:line="240" w:lineRule="auto" w:after="0"/>
              <w:ind w:firstLine="0"/>
            </w:pPr>
            <w:r/>
            <w:r>
              <w:rPr>
                <w:rFonts w:ascii="Times New Roman" w:hAnsi="Times New Roman"/>
                <w:sz w:val="22"/>
              </w:rPr>
            </w:r>
          </w:p>
        </w:tc>
        <w:tc>
          <w:tcPr>
            <w:tcW w:type="dxa" w:w="2608"/>
          </w:tcPr>
          <w:p>
            <w:pPr>
              <w:spacing w:line="240" w:lineRule="auto" w:after="0"/>
              <w:ind w:firstLine="0"/>
            </w:pPr>
            <w:r/>
            <w:r>
              <w:rPr>
                <w:rFonts w:ascii="Times New Roman" w:hAnsi="Times New Roman"/>
                <w:sz w:val="22"/>
              </w:rPr>
            </w:r>
          </w:p>
        </w:tc>
        <w:tc>
          <w:tcPr>
            <w:tcW w:type="dxa" w:w="2268"/>
          </w:tcPr>
          <w:p>
            <w:pPr>
              <w:spacing w:line="240" w:lineRule="auto" w:after="0"/>
              <w:ind w:firstLine="0"/>
            </w:pPr>
            <w:r/>
            <w:r>
              <w:rPr>
                <w:rFonts w:ascii="Times New Roman" w:hAnsi="Times New Roman"/>
                <w:sz w:val="22"/>
              </w:rPr>
            </w:r>
          </w:p>
        </w:tc>
        <w:tc>
          <w:tcPr>
            <w:tcW w:type="dxa" w:w="1701"/>
          </w:tcPr>
          <w:p>
            <w:pPr>
              <w:spacing w:line="240" w:lineRule="auto" w:after="0"/>
              <w:ind w:firstLine="0"/>
            </w:pPr>
            <w:r/>
            <w:r>
              <w:rPr>
                <w:rFonts w:ascii="Times New Roman" w:hAnsi="Times New Roman"/>
                <w:sz w:val="22"/>
              </w:rPr>
            </w:r>
          </w:p>
        </w:tc>
      </w:tr>
      <w:tr>
        <w:tc>
          <w:tcPr>
            <w:tcW w:type="dxa" w:w="3061"/>
          </w:tcPr>
          <w:p>
            <w:pPr>
              <w:spacing w:line="240" w:lineRule="auto" w:after="0"/>
              <w:ind w:firstLine="0"/>
            </w:pPr>
            <w:r/>
            <w:r>
              <w:rPr>
                <w:rFonts w:ascii="Times New Roman" w:hAnsi="Times New Roman"/>
                <w:sz w:val="22"/>
              </w:rPr>
              <w:t>Рецензент</w:t>
            </w:r>
          </w:p>
        </w:tc>
        <w:tc>
          <w:tcPr>
            <w:tcW w:type="dxa" w:w="2608"/>
          </w:tcPr>
          <w:p>
            <w:pPr>
              <w:spacing w:line="240" w:lineRule="auto" w:after="0"/>
              <w:ind w:firstLine="0"/>
            </w:pPr>
            <w:r/>
            <w:r>
              <w:rPr>
                <w:rFonts w:ascii="Times New Roman" w:hAnsi="Times New Roman"/>
                <w:sz w:val="22"/>
              </w:rPr>
            </w:r>
          </w:p>
        </w:tc>
        <w:tc>
          <w:tcPr>
            <w:tcW w:type="dxa" w:w="2268"/>
          </w:tcPr>
          <w:p>
            <w:pPr>
              <w:spacing w:line="240" w:lineRule="auto" w:after="0"/>
              <w:ind w:firstLine="0"/>
            </w:pPr>
            <w:r/>
            <w:r>
              <w:rPr>
                <w:rFonts w:ascii="Times New Roman" w:hAnsi="Times New Roman"/>
                <w:sz w:val="22"/>
              </w:rPr>
            </w:r>
          </w:p>
        </w:tc>
        <w:tc>
          <w:tcPr>
            <w:tcW w:type="dxa" w:w="1701"/>
          </w:tcPr>
          <w:p>
            <w:pPr>
              <w:spacing w:line="240" w:lineRule="auto" w:after="0"/>
              <w:ind w:firstLine="0"/>
            </w:pPr>
            <w:r/>
            <w:r>
              <w:rPr>
                <w:rFonts w:ascii="Times New Roman" w:hAnsi="Times New Roman"/>
                <w:sz w:val="22"/>
              </w:rPr>
            </w:r>
          </w:p>
        </w:tc>
      </w:tr>
      <w:tr>
        <w:tc>
          <w:tcPr>
            <w:tcW w:type="dxa" w:w="3061"/>
          </w:tcPr>
          <w:p>
            <w:pPr>
              <w:spacing w:line="240" w:lineRule="auto" w:after="0"/>
              <w:ind w:firstLine="0"/>
            </w:pPr>
            <w:r/>
            <w:r>
              <w:rPr>
                <w:rFonts w:ascii="Times New Roman" w:hAnsi="Times New Roman"/>
                <w:sz w:val="22"/>
              </w:rPr>
              <w:t>Нормоконтролер</w:t>
            </w:r>
          </w:p>
        </w:tc>
        <w:tc>
          <w:tcPr>
            <w:tcW w:type="dxa" w:w="2608"/>
          </w:tcPr>
          <w:p>
            <w:pPr>
              <w:spacing w:line="240" w:lineRule="auto" w:after="0"/>
              <w:ind w:firstLine="0"/>
            </w:pPr>
            <w:r/>
            <w:r>
              <w:rPr>
                <w:rFonts w:ascii="Times New Roman" w:hAnsi="Times New Roman"/>
                <w:sz w:val="22"/>
              </w:rPr>
            </w:r>
          </w:p>
        </w:tc>
        <w:tc>
          <w:tcPr>
            <w:tcW w:type="dxa" w:w="2268"/>
          </w:tcPr>
          <w:p>
            <w:pPr>
              <w:spacing w:line="240" w:lineRule="auto" w:after="0"/>
              <w:ind w:firstLine="0"/>
            </w:pPr>
            <w:r/>
            <w:r>
              <w:rPr>
                <w:rFonts w:ascii="Times New Roman" w:hAnsi="Times New Roman"/>
                <w:sz w:val="22"/>
              </w:rPr>
            </w:r>
          </w:p>
        </w:tc>
        <w:tc>
          <w:tcPr>
            <w:tcW w:type="dxa" w:w="1701"/>
          </w:tcPr>
          <w:p>
            <w:pPr>
              <w:spacing w:line="240" w:lineRule="auto" w:after="0"/>
              <w:ind w:firstLine="0"/>
            </w:pPr>
            <w:r/>
            <w:r>
              <w:rPr>
                <w:rFonts w:ascii="Times New Roman" w:hAnsi="Times New Roman"/>
                <w:sz w:val="22"/>
              </w:rPr>
            </w:r>
          </w:p>
        </w:tc>
      </w:tr>
    </w:tbl>
    <w:p>
      <w:pPr>
        <w:spacing w:after="200" w:line="276" w:lineRule="auto"/>
        <w:ind w:firstLine="0"/>
        <w:jc w:val="center"/>
      </w:pPr>
      <w:r>
        <w:rPr>
          <w:rFonts w:ascii="Times New Roman" w:hAnsi="Times New Roman"/>
          <w:b w:val="0"/>
          <w:i w:val="0"/>
          <w:sz w:val="28"/>
        </w:rPr>
      </w:r>
    </w:p>
    <w:p>
      <w:pPr>
        <w:spacing w:after="0" w:line="276" w:lineRule="auto"/>
        <w:ind w:firstLine="0"/>
        <w:jc w:val="center"/>
      </w:pPr>
      <w:r>
        <w:rPr>
          <w:rFonts w:ascii="Times New Roman" w:hAnsi="Times New Roman"/>
          <w:b w:val="0"/>
          <w:i w:val="0"/>
          <w:sz w:val="28"/>
        </w:rPr>
        <w:t>Дніпро</w:t>
      </w:r>
    </w:p>
    <w:p>
      <w:pPr>
        <w:spacing w:after="0" w:line="276" w:lineRule="auto"/>
        <w:ind w:firstLine="0"/>
        <w:jc w:val="center"/>
      </w:pPr>
      <w:r>
        <w:rPr>
          <w:rFonts w:ascii="Times New Roman" w:hAnsi="Times New Roman"/>
          <w:b w:val="0"/>
          <w:i w:val="0"/>
          <w:sz w:val="28"/>
        </w:rPr>
        <w:t>2026</w:t>
      </w:r>
    </w:p>
    <w:p>
      <w:r>
        <w:br w:type="page"/>
      </w:r>
    </w:p>
    <w:p>
      <w:pPr>
        <w:spacing w:after="0"/>
        <w:ind w:firstLine="0"/>
        <w:jc w:val="center"/>
      </w:pPr>
      <w:r>
        <w:rPr>
          <w:rFonts w:ascii="Times New Roman" w:hAnsi="Times New Roman"/>
          <w:b w:val="0"/>
          <w:i w:val="0"/>
          <w:sz w:val="26"/>
        </w:rPr>
        <w:t>Міністерство освіти і науки України</w:t>
      </w:r>
    </w:p>
    <w:p>
      <w:pPr>
        <w:spacing w:after="0"/>
        <w:ind w:firstLine="0"/>
        <w:jc w:val="center"/>
      </w:pPr>
      <w:r>
        <w:rPr>
          <w:rFonts w:ascii="Times New Roman" w:hAnsi="Times New Roman"/>
          <w:b/>
          <w:i w:val="0"/>
          <w:sz w:val="26"/>
        </w:rPr>
        <w:t>НАЦІОНАЛЬНИЙ ТЕХНІЧНИЙ УНІВЕРСИТЕТ</w:t>
      </w:r>
    </w:p>
    <w:p>
      <w:pPr>
        <w:spacing w:after="240"/>
        <w:ind w:firstLine="0"/>
        <w:jc w:val="center"/>
      </w:pPr>
      <w:r>
        <w:rPr>
          <w:rFonts w:ascii="Times New Roman" w:hAnsi="Times New Roman"/>
          <w:b/>
          <w:i w:val="0"/>
          <w:sz w:val="26"/>
        </w:rPr>
        <w:t>«ДНІПРОВСЬКА ПОЛІТЕХНІКА»</w:t>
      </w:r>
    </w:p>
    <w:p>
      <w:pPr>
        <w:spacing w:after="0" w:line="240" w:lineRule="auto"/>
        <w:ind w:firstLine="0"/>
        <w:jc w:val="right"/>
      </w:pPr>
      <w:r>
        <w:rPr>
          <w:rFonts w:ascii="Times New Roman" w:hAnsi="Times New Roman"/>
          <w:b w:val="0"/>
          <w:i w:val="0"/>
          <w:sz w:val="24"/>
        </w:rPr>
        <w:t>ЗАТВЕРДЖЕНО:</w:t>
      </w:r>
    </w:p>
    <w:p>
      <w:pPr>
        <w:spacing w:after="0" w:line="240" w:lineRule="auto"/>
        <w:ind w:firstLine="0"/>
        <w:jc w:val="right"/>
      </w:pPr>
      <w:r>
        <w:rPr>
          <w:rFonts w:ascii="Times New Roman" w:hAnsi="Times New Roman"/>
          <w:b w:val="0"/>
          <w:i w:val="0"/>
          <w:sz w:val="22"/>
        </w:rPr>
        <w:t>завідувач кафедри</w:t>
      </w:r>
    </w:p>
    <w:p>
      <w:pPr>
        <w:spacing w:after="0" w:line="240" w:lineRule="auto"/>
        <w:ind w:firstLine="0"/>
        <w:jc w:val="right"/>
      </w:pPr>
      <w:r>
        <w:rPr>
          <w:rFonts w:ascii="Times New Roman" w:hAnsi="Times New Roman"/>
          <w:b w:val="0"/>
          <w:i w:val="0"/>
          <w:sz w:val="22"/>
        </w:rPr>
        <w:t>програмного забезпечення комп'ютерних систем</w:t>
      </w:r>
    </w:p>
    <w:p>
      <w:pPr>
        <w:spacing w:after="0" w:line="240" w:lineRule="auto"/>
        <w:ind w:firstLine="0"/>
        <w:jc w:val="right"/>
      </w:pPr>
      <w:r>
        <w:rPr>
          <w:rFonts w:ascii="Times New Roman" w:hAnsi="Times New Roman"/>
          <w:b w:val="0"/>
          <w:i w:val="0"/>
          <w:sz w:val="22"/>
        </w:rPr>
        <w:t>_________________  ______________</w:t>
      </w:r>
    </w:p>
    <w:p>
      <w:pPr>
        <w:spacing w:after="0" w:line="240" w:lineRule="auto"/>
        <w:ind w:firstLine="0"/>
        <w:jc w:val="right"/>
      </w:pPr>
      <w:r>
        <w:rPr>
          <w:rFonts w:ascii="Times New Roman" w:hAnsi="Times New Roman"/>
          <w:b w:val="0"/>
          <w:i w:val="0"/>
          <w:sz w:val="22"/>
        </w:rPr>
        <w:t>(підпис)                (прізвище, ініціали)</w:t>
      </w:r>
    </w:p>
    <w:p>
      <w:pPr>
        <w:spacing w:after="0" w:line="240" w:lineRule="auto"/>
        <w:ind w:firstLine="0"/>
        <w:jc w:val="right"/>
      </w:pPr>
      <w:r>
        <w:rPr>
          <w:rFonts w:ascii="Times New Roman" w:hAnsi="Times New Roman"/>
          <w:b w:val="0"/>
          <w:i w:val="0"/>
          <w:sz w:val="22"/>
        </w:rPr>
        <w:t>«____» ______________ 2026 року</w:t>
      </w:r>
    </w:p>
    <w:p>
      <w:pPr>
        <w:spacing w:after="240"/>
        <w:ind w:firstLine="0"/>
        <w:jc w:val="center"/>
      </w:pPr>
      <w:r>
        <w:rPr>
          <w:rFonts w:ascii="Times New Roman" w:hAnsi="Times New Roman"/>
          <w:b w:val="0"/>
          <w:i w:val="0"/>
          <w:sz w:val="28"/>
        </w:rPr>
      </w:r>
    </w:p>
    <w:p>
      <w:pPr>
        <w:spacing w:after="0"/>
        <w:ind w:firstLine="0"/>
        <w:jc w:val="center"/>
      </w:pPr>
      <w:r>
        <w:rPr>
          <w:rFonts w:ascii="Times New Roman" w:hAnsi="Times New Roman"/>
          <w:b/>
          <w:i w:val="0"/>
          <w:sz w:val="30"/>
        </w:rPr>
        <w:t>ЗАВДАННЯ</w:t>
      </w:r>
    </w:p>
    <w:p>
      <w:pPr>
        <w:spacing w:after="240"/>
        <w:ind w:firstLine="0"/>
        <w:jc w:val="center"/>
      </w:pPr>
      <w:r>
        <w:rPr>
          <w:rFonts w:ascii="Times New Roman" w:hAnsi="Times New Roman"/>
          <w:b w:val="0"/>
          <w:i w:val="0"/>
          <w:sz w:val="26"/>
        </w:rPr>
        <w:t>на виконання кваліфікаційної роботи магістра</w:t>
      </w:r>
    </w:p>
    <w:p>
      <w:pPr>
        <w:spacing w:after="0" w:line="276" w:lineRule="auto"/>
        <w:ind w:firstLine="0"/>
        <w:jc w:val="both"/>
      </w:pPr>
      <w:r>
        <w:rPr>
          <w:rFonts w:ascii="Times New Roman" w:hAnsi="Times New Roman"/>
          <w:b w:val="0"/>
          <w:i w:val="0"/>
          <w:sz w:val="24"/>
        </w:rPr>
        <w:t>спеціальності  122 Комп'ютерні науки</w:t>
      </w:r>
    </w:p>
    <w:p>
      <w:pPr>
        <w:spacing w:after="0" w:line="276" w:lineRule="auto"/>
        <w:ind w:firstLine="0"/>
        <w:jc w:val="both"/>
      </w:pPr>
      <w:r>
        <w:rPr>
          <w:rFonts w:ascii="Times New Roman" w:hAnsi="Times New Roman"/>
          <w:b w:val="0"/>
          <w:i w:val="0"/>
          <w:sz w:val="24"/>
        </w:rPr>
        <w:t>студенту  ____________________  ____________________________________</w:t>
      </w:r>
    </w:p>
    <w:p>
      <w:pPr>
        <w:spacing w:after="0" w:line="276" w:lineRule="auto"/>
        <w:ind w:firstLine="0"/>
        <w:jc w:val="both"/>
      </w:pPr>
      <w:r>
        <w:rPr>
          <w:rFonts w:ascii="Times New Roman" w:hAnsi="Times New Roman"/>
          <w:b w:val="0"/>
          <w:i w:val="0"/>
          <w:sz w:val="24"/>
        </w:rPr>
        <w:t xml:space="preserve">                     (група)                                  (прізвище, ім'я, по батькові)</w:t>
      </w:r>
    </w:p>
    <w:p>
      <w:pPr>
        <w:spacing w:after="0" w:line="276" w:lineRule="auto"/>
        <w:ind w:firstLine="0"/>
        <w:jc w:val="both"/>
      </w:pPr>
      <w:r>
        <w:rPr>
          <w:rFonts w:ascii="Times New Roman" w:hAnsi="Times New Roman"/>
          <w:b w:val="0"/>
          <w:i w:val="0"/>
          <w:sz w:val="24"/>
        </w:rPr>
        <w:t>Тема кваліфікаційної роботи: «Модель та програмне забезпечення виявлення пневмонії на рентгенограмах органів грудної клітки на основі згорткової нейронної мережі»</w:t>
      </w:r>
    </w:p>
    <w:p>
      <w:pPr>
        <w:spacing w:after="200"/>
        <w:ind w:firstLine="0"/>
        <w:jc w:val="center"/>
      </w:pPr>
      <w:r>
        <w:rPr>
          <w:rFonts w:ascii="Times New Roman" w:hAnsi="Times New Roman"/>
          <w:b w:val="0"/>
          <w:i w:val="0"/>
          <w:sz w:val="28"/>
        </w:rPr>
      </w:r>
    </w:p>
    <w:p>
      <w:pPr>
        <w:spacing w:after="80"/>
        <w:ind w:firstLine="0"/>
        <w:jc w:val="both"/>
      </w:pPr>
      <w:r>
        <w:rPr>
          <w:rFonts w:ascii="Times New Roman" w:hAnsi="Times New Roman"/>
          <w:b/>
          <w:i w:val="0"/>
          <w:sz w:val="26"/>
        </w:rPr>
        <w:t>1 ПІДСТАВИ ДЛЯ ПРОВЕДЕННЯ РОБОТИ</w:t>
      </w:r>
    </w:p>
    <w:p>
      <w:pPr>
        <w:spacing w:after="200"/>
        <w:ind w:firstLine="0"/>
        <w:jc w:val="both"/>
      </w:pPr>
      <w:r>
        <w:rPr>
          <w:rFonts w:ascii="Times New Roman" w:hAnsi="Times New Roman"/>
          <w:b w:val="0"/>
          <w:i w:val="0"/>
          <w:sz w:val="26"/>
        </w:rPr>
        <w:t>Наказ ректора НТУ «Дніпровська політехніка» від «____» ____________ 2026 р. № ________</w:t>
      </w:r>
    </w:p>
    <w:p>
      <w:pPr>
        <w:spacing w:after="80"/>
        <w:ind w:firstLine="0"/>
        <w:jc w:val="both"/>
      </w:pPr>
      <w:r>
        <w:rPr>
          <w:rFonts w:ascii="Times New Roman" w:hAnsi="Times New Roman"/>
          <w:b/>
          <w:i w:val="0"/>
          <w:sz w:val="26"/>
        </w:rPr>
        <w:t>2 МЕТА ТА ВИХІДНІ ДАНІ ДЛЯ ПРОВЕДЕННЯ РОБІТ</w:t>
      </w:r>
    </w:p>
    <w:p>
      <w:pPr>
        <w:spacing w:after="0"/>
        <w:ind w:firstLine="850"/>
        <w:jc w:val="both"/>
      </w:pPr>
      <w:r>
        <w:rPr>
          <w:rFonts w:ascii="Times New Roman" w:hAnsi="Times New Roman"/>
          <w:b w:val="0"/>
          <w:i w:val="0"/>
          <w:sz w:val="26"/>
        </w:rPr>
        <w:t>Об'єкт досліджень — процес автоматизованого виявлення ознак легеневого затемнення на цифрових рентгенограмах органів грудної клітки.</w:t>
      </w:r>
    </w:p>
    <w:p>
      <w:pPr>
        <w:spacing w:after="0"/>
        <w:ind w:firstLine="850"/>
        <w:jc w:val="both"/>
      </w:pPr>
      <w:r>
        <w:rPr>
          <w:rFonts w:ascii="Times New Roman" w:hAnsi="Times New Roman"/>
          <w:b w:val="0"/>
          <w:i w:val="0"/>
          <w:sz w:val="26"/>
        </w:rPr>
        <w:t>Предмет досліджень — моделі, методи та програмні засоби бінарної класифікації рентгенограм на основі власної згорткової нейронної мережі, навченої з нуля, методи візуальної інтерпретації її рішень та їх перенесення у середовище мобільного пристрою.</w:t>
      </w:r>
    </w:p>
    <w:p>
      <w:pPr>
        <w:spacing w:after="0"/>
        <w:ind w:firstLine="850"/>
        <w:jc w:val="both"/>
      </w:pPr>
      <w:r>
        <w:rPr>
          <w:rFonts w:ascii="Times New Roman" w:hAnsi="Times New Roman"/>
          <w:b w:val="0"/>
          <w:i w:val="0"/>
          <w:sz w:val="26"/>
        </w:rPr>
        <w:t>Мета роботи — підвищення доступності первинного аналізу рентгенограм органів грудної клітки шляхом розроблення власної компактної згорткової архітектури для виявлення легеневого затемнення та мобільного застосунку, що виконує цю модель локально, офлайн, з візуальним поясненням результату.</w:t>
      </w:r>
    </w:p>
    <w:p>
      <w:pPr>
        <w:spacing w:after="200"/>
        <w:ind w:firstLine="850"/>
        <w:jc w:val="both"/>
      </w:pPr>
      <w:r>
        <w:rPr>
          <w:rFonts w:ascii="Times New Roman" w:hAnsi="Times New Roman"/>
          <w:b w:val="0"/>
          <w:i w:val="0"/>
          <w:sz w:val="26"/>
        </w:rPr>
        <w:t>Вихідні дані — відкритий набір даних RSNA Pneumonia Detection Challenge 2018 обсягом 29 684 рентгенограми у форматі DICOM з експертною розміткою трьох класів та обмежувальними прямокутниками ділянок затемнення.</w:t>
      </w:r>
    </w:p>
    <w:p>
      <w:pPr>
        <w:spacing w:after="80"/>
        <w:ind w:firstLine="0"/>
        <w:jc w:val="both"/>
      </w:pPr>
      <w:r>
        <w:rPr>
          <w:rFonts w:ascii="Times New Roman" w:hAnsi="Times New Roman"/>
          <w:b/>
          <w:i w:val="0"/>
          <w:sz w:val="26"/>
        </w:rPr>
        <w:t>3 ОЧІКУВАНІ НАУКОВІ РЕЗУЛЬТАТИ</w:t>
      </w:r>
    </w:p>
    <w:p>
      <w:pPr>
        <w:spacing w:after="0"/>
        <w:ind w:firstLine="850"/>
        <w:jc w:val="both"/>
      </w:pPr>
      <w:r>
        <w:rPr>
          <w:rFonts w:ascii="Times New Roman" w:hAnsi="Times New Roman"/>
          <w:b w:val="0"/>
          <w:i w:val="0"/>
          <w:sz w:val="26"/>
        </w:rPr>
        <w:t>Наукова новизна отриманих результатів полягає в тому, що розроблено власну компактну згорткову архітектуру PulmoNet-7M (7 065 953 параметри), яка, на відміну від відомих рішень, побудована безпосередньо під одноканальне рентгенівське зображення без штучного дублювання в три канали, навчається з нуля без використання попередньо навчених ваг і містить шар глобального усереднення, завдяки чому візуальне пояснення рішення методом карт активації класів обчислюється за один прямий прохід і залишається придатним для виконання на мобільному пристрої. Уперше для такої архітектури кількісно підтверджено чисельну відтворюваність прогнозу під час перенесення моделі із середовища навчання у мобільне середовище: розбіжність прогнозованої ймовірності не перевищує 7,9·10⁻⁷.</w:t>
      </w:r>
    </w:p>
    <w:p>
      <w:pPr>
        <w:spacing w:after="200"/>
        <w:ind w:firstLine="850"/>
        <w:jc w:val="both"/>
      </w:pPr>
      <w:r>
        <w:rPr>
          <w:rFonts w:ascii="Times New Roman" w:hAnsi="Times New Roman"/>
          <w:b w:val="0"/>
          <w:i w:val="0"/>
          <w:sz w:val="26"/>
        </w:rPr>
        <w:t>Практична цінність результатів полягає в розробленні працездатного мобільного застосунку, який читає вихідний файл дослідження у форматі DICOM, виконує аналіз повністю локально, без передавання медичних даних у мережу, і видає ймовірність наявності легеневого затемнення разом із тепловою картою за 214 мс на серійному смартфоні. Це дає змогу застосовувати систему в умовах відсутності зв'язку та кваліфікованого рентгенолога — у закладах первинної ланки, у сільській місцевості та в польових умовах. Розроблений конвеєр підготовки даних і методика перевірки паритету попередньої обробки можуть бути повторно використані в суміжних задачах аналізу медичних зображень.</w:t>
      </w:r>
    </w:p>
    <w:p>
      <w:pPr>
        <w:spacing w:after="80"/>
        <w:ind w:firstLine="0"/>
        <w:jc w:val="both"/>
      </w:pPr>
      <w:r>
        <w:rPr>
          <w:rFonts w:ascii="Times New Roman" w:hAnsi="Times New Roman"/>
          <w:b/>
          <w:i w:val="0"/>
          <w:sz w:val="26"/>
        </w:rPr>
        <w:t>4 ВИМОГИ ДО РЕЗУЛЬТАТІВ ВИКОНАННЯ РОБОТИ</w:t>
      </w:r>
    </w:p>
    <w:p>
      <w:pPr>
        <w:spacing w:after="200"/>
        <w:ind w:firstLine="850"/>
        <w:jc w:val="both"/>
      </w:pPr>
      <w:r>
        <w:rPr>
          <w:rFonts w:ascii="Times New Roman" w:hAnsi="Times New Roman"/>
          <w:b w:val="0"/>
          <w:i w:val="0"/>
          <w:sz w:val="26"/>
        </w:rPr>
        <w:t>У результаті роботи має бути розроблено програмний комплекс, що складається з дослідницької частини (конвеєр підготовки даних, навчання та оцінювання власної згорткової моделі) та мобільного застосунку, який виконує навчену модель локально й надає візуальне пояснення результату. Якість моделі має бути підтверджена кількісними оцінками на незалежній тестовій вибірці, а чисельна відповідність мобільної реалізації еталонній — окремим вимірюванням.</w:t>
      </w:r>
    </w:p>
    <w:p>
      <w:pPr>
        <w:spacing w:after="80"/>
        <w:ind w:firstLine="0"/>
        <w:jc w:val="both"/>
      </w:pPr>
      <w:r>
        <w:rPr>
          <w:rFonts w:ascii="Times New Roman" w:hAnsi="Times New Roman"/>
          <w:b/>
          <w:i w:val="0"/>
          <w:sz w:val="26"/>
        </w:rPr>
        <w:t>5 ЕТАПИ ВИКОНАННЯ РОБІТ</w:t>
      </w:r>
    </w:p>
    <w:tbl>
      <w:tblPr>
        <w:tblStyle w:val="TableGrid"/>
        <w:tblW w:type="auto" w:w="0"/>
        <w:tblLook w:firstColumn="1" w:firstRow="1" w:lastColumn="0" w:lastRow="0" w:noHBand="0" w:noVBand="1" w:val="04A0"/>
      </w:tblPr>
      <w:tblGrid>
        <w:gridCol w:w="4986"/>
        <w:gridCol w:w="4986"/>
      </w:tblGrid>
      <w:tr>
        <w:tc>
          <w:tcPr>
            <w:tcW w:type="dxa" w:w="6520"/>
          </w:tcPr>
          <w:p>
            <w:pPr>
              <w:spacing w:line="240" w:lineRule="auto" w:after="0"/>
              <w:ind w:firstLine="0"/>
              <w:jc w:val="center"/>
            </w:pPr>
            <w:r/>
            <w:r>
              <w:rPr>
                <w:rFonts w:ascii="Times New Roman" w:hAnsi="Times New Roman"/>
                <w:b/>
                <w:sz w:val="22"/>
              </w:rPr>
              <w:t>Найменування етапів робіт</w:t>
            </w:r>
          </w:p>
        </w:tc>
        <w:tc>
          <w:tcPr>
            <w:tcW w:type="dxa" w:w="3118"/>
          </w:tcPr>
          <w:p>
            <w:pPr>
              <w:spacing w:line="240" w:lineRule="auto" w:after="0"/>
              <w:ind w:firstLine="0"/>
              <w:jc w:val="center"/>
            </w:pPr>
            <w:r/>
            <w:r>
              <w:rPr>
                <w:rFonts w:ascii="Times New Roman" w:hAnsi="Times New Roman"/>
                <w:b/>
                <w:sz w:val="22"/>
              </w:rPr>
              <w:t>Терміни виконання</w:t>
            </w:r>
          </w:p>
        </w:tc>
      </w:tr>
      <w:tr>
        <w:tc>
          <w:tcPr>
            <w:tcW w:type="dxa" w:w="6520"/>
          </w:tcPr>
          <w:p>
            <w:pPr>
              <w:spacing w:line="240" w:lineRule="auto" w:after="0"/>
              <w:ind w:firstLine="0"/>
            </w:pPr>
            <w:r/>
            <w:r>
              <w:rPr>
                <w:rFonts w:ascii="Times New Roman" w:hAnsi="Times New Roman"/>
                <w:sz w:val="22"/>
              </w:rPr>
              <w:t>Аналіз предметної області, огляд джерел, постановка задачі</w:t>
            </w:r>
          </w:p>
        </w:tc>
        <w:tc>
          <w:tcPr>
            <w:tcW w:type="dxa" w:w="3118"/>
          </w:tcPr>
          <w:p>
            <w:pPr>
              <w:spacing w:line="240" w:lineRule="auto" w:after="0"/>
              <w:ind w:firstLine="0"/>
            </w:pPr>
            <w:r/>
            <w:r>
              <w:rPr>
                <w:rFonts w:ascii="Times New Roman" w:hAnsi="Times New Roman"/>
                <w:sz w:val="22"/>
              </w:rPr>
              <w:t>10.09.2026 – 30.09.2026</w:t>
            </w:r>
          </w:p>
        </w:tc>
      </w:tr>
      <w:tr>
        <w:tc>
          <w:tcPr>
            <w:tcW w:type="dxa" w:w="6520"/>
          </w:tcPr>
          <w:p>
            <w:pPr>
              <w:spacing w:line="240" w:lineRule="auto" w:after="0"/>
              <w:ind w:firstLine="0"/>
            </w:pPr>
            <w:r/>
            <w:r>
              <w:rPr>
                <w:rFonts w:ascii="Times New Roman" w:hAnsi="Times New Roman"/>
                <w:sz w:val="22"/>
              </w:rPr>
              <w:t>Підготовка даних: аналіз анотацій, опрацювання DICOM, поділ вибірки</w:t>
            </w:r>
          </w:p>
        </w:tc>
        <w:tc>
          <w:tcPr>
            <w:tcW w:type="dxa" w:w="3118"/>
          </w:tcPr>
          <w:p>
            <w:pPr>
              <w:spacing w:line="240" w:lineRule="auto" w:after="0"/>
              <w:ind w:firstLine="0"/>
            </w:pPr>
            <w:r/>
            <w:r>
              <w:rPr>
                <w:rFonts w:ascii="Times New Roman" w:hAnsi="Times New Roman"/>
                <w:sz w:val="22"/>
              </w:rPr>
              <w:t>01.10.2026 – 15.10.2026</w:t>
            </w:r>
          </w:p>
        </w:tc>
      </w:tr>
      <w:tr>
        <w:tc>
          <w:tcPr>
            <w:tcW w:type="dxa" w:w="6520"/>
          </w:tcPr>
          <w:p>
            <w:pPr>
              <w:spacing w:line="240" w:lineRule="auto" w:after="0"/>
              <w:ind w:firstLine="0"/>
            </w:pPr>
            <w:r/>
            <w:r>
              <w:rPr>
                <w:rFonts w:ascii="Times New Roman" w:hAnsi="Times New Roman"/>
                <w:sz w:val="22"/>
              </w:rPr>
              <w:t>Проєктування архітектури PulmoNet-7M та навчання моделі</w:t>
            </w:r>
          </w:p>
        </w:tc>
        <w:tc>
          <w:tcPr>
            <w:tcW w:type="dxa" w:w="3118"/>
          </w:tcPr>
          <w:p>
            <w:pPr>
              <w:spacing w:line="240" w:lineRule="auto" w:after="0"/>
              <w:ind w:firstLine="0"/>
            </w:pPr>
            <w:r/>
            <w:r>
              <w:rPr>
                <w:rFonts w:ascii="Times New Roman" w:hAnsi="Times New Roman"/>
                <w:sz w:val="22"/>
              </w:rPr>
              <w:t>16.10.2026 – 05.11.2026</w:t>
            </w:r>
          </w:p>
        </w:tc>
      </w:tr>
      <w:tr>
        <w:tc>
          <w:tcPr>
            <w:tcW w:type="dxa" w:w="6520"/>
          </w:tcPr>
          <w:p>
            <w:pPr>
              <w:spacing w:line="240" w:lineRule="auto" w:after="0"/>
              <w:ind w:firstLine="0"/>
            </w:pPr>
            <w:r/>
            <w:r>
              <w:rPr>
                <w:rFonts w:ascii="Times New Roman" w:hAnsi="Times New Roman"/>
                <w:sz w:val="22"/>
              </w:rPr>
              <w:t>Оцінювання моделі, аналіз помилок, реалізація CAM</w:t>
            </w:r>
          </w:p>
        </w:tc>
        <w:tc>
          <w:tcPr>
            <w:tcW w:type="dxa" w:w="3118"/>
          </w:tcPr>
          <w:p>
            <w:pPr>
              <w:spacing w:line="240" w:lineRule="auto" w:after="0"/>
              <w:ind w:firstLine="0"/>
            </w:pPr>
            <w:r/>
            <w:r>
              <w:rPr>
                <w:rFonts w:ascii="Times New Roman" w:hAnsi="Times New Roman"/>
                <w:sz w:val="22"/>
              </w:rPr>
              <w:t>06.11.2026 – 20.11.2026</w:t>
            </w:r>
          </w:p>
        </w:tc>
      </w:tr>
      <w:tr>
        <w:tc>
          <w:tcPr>
            <w:tcW w:type="dxa" w:w="6520"/>
          </w:tcPr>
          <w:p>
            <w:pPr>
              <w:spacing w:line="240" w:lineRule="auto" w:after="0"/>
              <w:ind w:firstLine="0"/>
            </w:pPr>
            <w:r/>
            <w:r>
              <w:rPr>
                <w:rFonts w:ascii="Times New Roman" w:hAnsi="Times New Roman"/>
                <w:sz w:val="22"/>
              </w:rPr>
              <w:t>Експорт моделі та розроблення мобільного застосунку</w:t>
            </w:r>
          </w:p>
        </w:tc>
        <w:tc>
          <w:tcPr>
            <w:tcW w:type="dxa" w:w="3118"/>
          </w:tcPr>
          <w:p>
            <w:pPr>
              <w:spacing w:line="240" w:lineRule="auto" w:after="0"/>
              <w:ind w:firstLine="0"/>
            </w:pPr>
            <w:r/>
            <w:r>
              <w:rPr>
                <w:rFonts w:ascii="Times New Roman" w:hAnsi="Times New Roman"/>
                <w:sz w:val="22"/>
              </w:rPr>
              <w:t>21.11.2026 – 05.12.2026</w:t>
            </w:r>
          </w:p>
        </w:tc>
      </w:tr>
      <w:tr>
        <w:tc>
          <w:tcPr>
            <w:tcW w:type="dxa" w:w="6520"/>
          </w:tcPr>
          <w:p>
            <w:pPr>
              <w:spacing w:line="240" w:lineRule="auto" w:after="0"/>
              <w:ind w:firstLine="0"/>
            </w:pPr>
            <w:r/>
            <w:r>
              <w:rPr>
                <w:rFonts w:ascii="Times New Roman" w:hAnsi="Times New Roman"/>
                <w:sz w:val="22"/>
              </w:rPr>
              <w:t>Оформлення пояснювальної записки та демонстраційних матеріалів</w:t>
            </w:r>
          </w:p>
        </w:tc>
        <w:tc>
          <w:tcPr>
            <w:tcW w:type="dxa" w:w="3118"/>
          </w:tcPr>
          <w:p>
            <w:pPr>
              <w:spacing w:line="240" w:lineRule="auto" w:after="0"/>
              <w:ind w:firstLine="0"/>
            </w:pPr>
            <w:r/>
            <w:r>
              <w:rPr>
                <w:rFonts w:ascii="Times New Roman" w:hAnsi="Times New Roman"/>
                <w:sz w:val="22"/>
              </w:rPr>
              <w:t>06.12.2026 – 15.12.2026</w:t>
            </w:r>
          </w:p>
        </w:tc>
      </w:tr>
    </w:tbl>
    <w:p>
      <w:pPr>
        <w:spacing w:after="160"/>
        <w:ind w:firstLine="0"/>
        <w:jc w:val="center"/>
      </w:pPr>
      <w:r>
        <w:rPr>
          <w:rFonts w:ascii="Times New Roman" w:hAnsi="Times New Roman"/>
          <w:b w:val="0"/>
          <w:i w:val="0"/>
          <w:sz w:val="28"/>
        </w:rPr>
      </w:r>
    </w:p>
    <w:p>
      <w:pPr>
        <w:spacing w:after="80"/>
        <w:ind w:firstLine="0"/>
        <w:jc w:val="both"/>
      </w:pPr>
      <w:r>
        <w:rPr>
          <w:rFonts w:ascii="Times New Roman" w:hAnsi="Times New Roman"/>
          <w:b/>
          <w:i w:val="0"/>
          <w:sz w:val="26"/>
        </w:rPr>
        <w:t>6 ДОДАТКОВІ ВИМОГИ</w:t>
      </w:r>
    </w:p>
    <w:p>
      <w:pPr>
        <w:spacing w:after="280"/>
        <w:ind w:firstLine="850"/>
        <w:jc w:val="both"/>
      </w:pPr>
      <w:r>
        <w:rPr>
          <w:rFonts w:ascii="Times New Roman" w:hAnsi="Times New Roman"/>
          <w:b w:val="0"/>
          <w:i w:val="0"/>
          <w:sz w:val="26"/>
        </w:rPr>
        <w:t>Пояснювальна записка оформлюється відповідно до ДСТУ 3008-2015; бібліографічний опис джерел — відповідно до ДСТУ 7.1:2006. Набір медичних даних використовується виключно в режимі читання, без модифікації вихідних файлів.</w:t>
      </w:r>
    </w:p>
    <w:p>
      <w:pPr>
        <w:tabs>
          <w:tab w:pos="5669" w:val="left"/>
          <w:tab w:pos="7937" w:val="left"/>
        </w:tabs>
        <w:spacing w:before="200" w:after="0" w:line="240" w:lineRule="auto"/>
        <w:ind w:firstLine="0"/>
      </w:pPr>
      <w:r>
        <w:rPr>
          <w:rFonts w:ascii="Times New Roman" w:hAnsi="Times New Roman"/>
          <w:sz w:val="26"/>
        </w:rPr>
        <w:t>Завдання видав                    керівник роботи</w:t>
        <w:tab/>
        <w:t>_______________</w:t>
        <w:tab/>
        <w:t>_______________________</w:t>
      </w:r>
    </w:p>
    <w:p>
      <w:pPr>
        <w:tabs>
          <w:tab w:pos="5669" w:val="left"/>
          <w:tab w:pos="7937" w:val="left"/>
        </w:tabs>
        <w:spacing w:after="0" w:line="240" w:lineRule="auto"/>
        <w:ind w:firstLine="0"/>
      </w:pPr>
      <w:r>
        <w:rPr>
          <w:rFonts w:ascii="Times New Roman" w:hAnsi="Times New Roman"/>
          <w:i/>
          <w:sz w:val="18"/>
        </w:rPr>
        <w:tab/>
        <w:t>(підпис)</w:t>
        <w:tab/>
        <w:t>(прізвище, ініціали)</w:t>
      </w:r>
    </w:p>
    <w:p>
      <w:pPr>
        <w:tabs>
          <w:tab w:pos="5669" w:val="left"/>
          <w:tab w:pos="7937" w:val="left"/>
        </w:tabs>
        <w:spacing w:before="200" w:after="0" w:line="240" w:lineRule="auto"/>
        <w:ind w:firstLine="0"/>
      </w:pPr>
      <w:r>
        <w:rPr>
          <w:rFonts w:ascii="Times New Roman" w:hAnsi="Times New Roman"/>
          <w:sz w:val="26"/>
        </w:rPr>
        <w:t>Завдання прийняв до виконання     студент</w:t>
        <w:tab/>
        <w:t>_______________</w:t>
        <w:tab/>
        <w:t>_______________________</w:t>
      </w:r>
    </w:p>
    <w:p>
      <w:pPr>
        <w:tabs>
          <w:tab w:pos="5669" w:val="left"/>
          <w:tab w:pos="7937" w:val="left"/>
        </w:tabs>
        <w:spacing w:after="0" w:line="240" w:lineRule="auto"/>
        <w:ind w:firstLine="0"/>
      </w:pPr>
      <w:r>
        <w:rPr>
          <w:rFonts w:ascii="Times New Roman" w:hAnsi="Times New Roman"/>
          <w:i/>
          <w:sz w:val="18"/>
        </w:rPr>
        <w:tab/>
        <w:t>(підпис)</w:t>
        <w:tab/>
        <w:t>(прізвище, ініціали)</w:t>
      </w:r>
    </w:p>
    <w:p>
      <w:pPr>
        <w:spacing w:after="160"/>
        <w:ind w:firstLine="0"/>
        <w:jc w:val="center"/>
      </w:pPr>
      <w:r>
        <w:rPr>
          <w:rFonts w:ascii="Times New Roman" w:hAnsi="Times New Roman"/>
          <w:b w:val="0"/>
          <w:i w:val="0"/>
          <w:sz w:val="28"/>
        </w:rPr>
      </w:r>
    </w:p>
    <w:p>
      <w:pPr>
        <w:spacing w:after="0" w:line="276" w:lineRule="auto"/>
        <w:ind w:firstLine="0"/>
        <w:jc w:val="both"/>
      </w:pPr>
      <w:r>
        <w:rPr>
          <w:rFonts w:ascii="Times New Roman" w:hAnsi="Times New Roman"/>
          <w:b w:val="0"/>
          <w:i w:val="0"/>
          <w:sz w:val="24"/>
        </w:rPr>
        <w:t>Дата видачі завдання:  «____» ____________ 2026 р.</w:t>
      </w:r>
    </w:p>
    <w:p>
      <w:pPr>
        <w:spacing w:after="0" w:line="276" w:lineRule="auto"/>
        <w:ind w:firstLine="0"/>
        <w:jc w:val="both"/>
      </w:pPr>
      <w:r>
        <w:rPr>
          <w:rFonts w:ascii="Times New Roman" w:hAnsi="Times New Roman"/>
          <w:b w:val="0"/>
          <w:i w:val="0"/>
          <w:sz w:val="24"/>
        </w:rPr>
        <w:t>Термін подання кваліфікаційної роботи до ЕК:  «____» ____________ 2026 р.</w:t>
      </w:r>
    </w:p>
    <w:p>
      <w:r>
        <w:br w:type="page"/>
      </w:r>
    </w:p>
    <w:p>
      <w:pPr>
        <w:spacing w:after="200" w:line="276" w:lineRule="auto"/>
        <w:ind w:firstLine="0"/>
        <w:jc w:val="center"/>
      </w:pPr>
      <w:r>
        <w:rPr>
          <w:rFonts w:ascii="Times New Roman" w:hAnsi="Times New Roman"/>
          <w:b/>
          <w:i w:val="0"/>
          <w:sz w:val="30"/>
        </w:rPr>
        <w:t>РЕФЕРАТ</w:t>
      </w:r>
    </w:p>
    <w:p>
      <w:pPr>
        <w:spacing w:after="80" w:line="276" w:lineRule="auto"/>
        <w:ind w:firstLine="0"/>
        <w:jc w:val="both"/>
      </w:pPr>
      <w:r>
        <w:rPr>
          <w:rFonts w:ascii="Times New Roman" w:hAnsi="Times New Roman"/>
          <w:b w:val="0"/>
          <w:i w:val="0"/>
          <w:sz w:val="26"/>
        </w:rPr>
        <w:t>Пояснювальна записка: ____ стор., ____ рис., ____ табл., 2 додатки, ____ джерел.</w:t>
      </w:r>
    </w:p>
    <w:p>
      <w:pPr>
        <w:spacing w:after="0" w:line="276" w:lineRule="auto"/>
        <w:ind w:firstLine="850"/>
        <w:jc w:val="both"/>
      </w:pPr>
      <w:r>
        <w:rPr>
          <w:rFonts w:ascii="Times New Roman" w:hAnsi="Times New Roman"/>
          <w:b w:val="0"/>
          <w:i w:val="0"/>
          <w:sz w:val="26"/>
        </w:rPr>
        <w:t>Об'єкт дослідження: процес автоматизованого виявлення ознак легеневого затемнення на цифрових рентгенограмах органів грудної клітки.</w:t>
      </w:r>
    </w:p>
    <w:p>
      <w:pPr>
        <w:spacing w:after="0" w:line="276" w:lineRule="auto"/>
        <w:ind w:firstLine="850"/>
        <w:jc w:val="both"/>
      </w:pPr>
      <w:r>
        <w:rPr>
          <w:rFonts w:ascii="Times New Roman" w:hAnsi="Times New Roman"/>
          <w:b w:val="0"/>
          <w:i w:val="0"/>
          <w:sz w:val="26"/>
        </w:rPr>
        <w:t>Предмет дослідження: моделі, методи та програмні засоби бінарної класифікації рентгенограм на основі власної згорткової нейронної мережі, навченої з нуля, методи візуальної інтерпретації її рішень та їх перенесення у середовище мобільного пристрою.</w:t>
      </w:r>
    </w:p>
    <w:p>
      <w:pPr>
        <w:spacing w:after="0" w:line="276" w:lineRule="auto"/>
        <w:ind w:firstLine="850"/>
        <w:jc w:val="both"/>
      </w:pPr>
      <w:r>
        <w:rPr>
          <w:rFonts w:ascii="Times New Roman" w:hAnsi="Times New Roman"/>
          <w:b w:val="0"/>
          <w:i w:val="0"/>
          <w:sz w:val="26"/>
        </w:rPr>
        <w:t>Мета роботи: підвищення доступності первинного аналізу рентгенограм органів грудної клітки шляхом розроблення власної компактної згорткової архітектури для виявлення легеневого затемнення та мобільного застосунку, що виконує цю модель локально, офлайн, з візуальним поясненням результату.</w:t>
      </w:r>
    </w:p>
    <w:p>
      <w:pPr>
        <w:spacing w:after="0" w:line="276" w:lineRule="auto"/>
        <w:ind w:firstLine="850"/>
        <w:jc w:val="both"/>
      </w:pPr>
      <w:r>
        <w:rPr>
          <w:rFonts w:ascii="Times New Roman" w:hAnsi="Times New Roman"/>
          <w:b w:val="0"/>
          <w:i w:val="0"/>
          <w:sz w:val="26"/>
        </w:rPr>
        <w:t>Вихідні дані: відкритий набір RSNA Pneumonia Detection Challenge 2018 — 29 684 рентгенограми у форматі DICOM з експертною розміткою трьох класів; частка позитивного класу 23,94 %.</w:t>
      </w:r>
    </w:p>
    <w:p>
      <w:pPr>
        <w:spacing w:after="0" w:line="276" w:lineRule="auto"/>
        <w:ind w:firstLine="850"/>
        <w:jc w:val="both"/>
      </w:pPr>
      <w:r>
        <w:rPr>
          <w:rFonts w:ascii="Times New Roman" w:hAnsi="Times New Roman"/>
          <w:b w:val="0"/>
          <w:i w:val="0"/>
          <w:sz w:val="26"/>
        </w:rPr>
        <w:t>Методи дослідження: системний аналіз предметної області, цифрова обробка зображень, глибинне навчання (згорткові нейронні мережі, стохастична оптимізація, регуляризація, аугментація), математична статистика та теорія діагностичних тестів (ROC- і PR-аналіз, статистика Юдена), методи візуальної інтерпретації моделей, інженерія програмного забезпечення.</w:t>
      </w:r>
    </w:p>
    <w:p>
      <w:pPr>
        <w:spacing w:after="0" w:line="276" w:lineRule="auto"/>
        <w:ind w:firstLine="850"/>
        <w:jc w:val="both"/>
      </w:pPr>
      <w:r>
        <w:rPr>
          <w:rFonts w:ascii="Times New Roman" w:hAnsi="Times New Roman"/>
          <w:b w:val="0"/>
          <w:i w:val="0"/>
          <w:sz w:val="26"/>
        </w:rPr>
        <w:t>Наукова новизна: розроблено власну компактну згорткову архітектуру PulmoNet-7M (7 065 953 параметри), яка, на відміну від відомих рішень, побудована безпосередньо під одноканальне рентгенівське зображення, навчається з нуля без попередньо навчених ваг і завдяки шару глобального усереднення обчислює візуальне пояснення за один прямий прохід; кількісно підтверджено відтворюваність прогнозу під час перенесення моделі на мобільний пристрій (розбіжність ймовірності до 7,9·10⁻⁷ для експортованих зображень і 1,3·10⁻³ для вихідних файлів DICOM, без зміни вердиктів).</w:t>
      </w:r>
    </w:p>
    <w:p>
      <w:pPr>
        <w:spacing w:after="0" w:line="276" w:lineRule="auto"/>
        <w:ind w:firstLine="850"/>
        <w:jc w:val="both"/>
      </w:pPr>
      <w:r>
        <w:rPr>
          <w:rFonts w:ascii="Times New Roman" w:hAnsi="Times New Roman"/>
          <w:b w:val="0"/>
          <w:i w:val="0"/>
          <w:sz w:val="26"/>
        </w:rPr>
        <w:t>Практична цінність: розроблено мобільний застосунок, який аналізує рентгенограму повністю локально, без передавання медичних даних у мережу, і видає ймовірність наявності затемнення разом із тепловою картою за 214 мс на серійному смартфоні.</w:t>
      </w:r>
    </w:p>
    <w:p>
      <w:pPr>
        <w:spacing w:after="0" w:line="276" w:lineRule="auto"/>
        <w:ind w:firstLine="850"/>
        <w:jc w:val="both"/>
      </w:pPr>
      <w:r>
        <w:rPr>
          <w:rFonts w:ascii="Times New Roman" w:hAnsi="Times New Roman"/>
          <w:b w:val="0"/>
          <w:i w:val="0"/>
          <w:sz w:val="26"/>
        </w:rPr>
        <w:t>Область застосування: заклади охорони здоров'я первинної ланки, мобільні та польові медичні підрозділи, скринінгові програми.</w:t>
      </w:r>
    </w:p>
    <w:p>
      <w:pPr>
        <w:spacing w:after="0" w:line="276" w:lineRule="auto"/>
        <w:ind w:firstLine="850"/>
        <w:jc w:val="both"/>
      </w:pPr>
      <w:r>
        <w:rPr>
          <w:rFonts w:ascii="Times New Roman" w:hAnsi="Times New Roman"/>
          <w:b w:val="0"/>
          <w:i w:val="0"/>
          <w:sz w:val="26"/>
        </w:rPr>
        <w:t>Значення роботи та висновки: модель досягає ROC-AUC 0,8739 та AUPRC 0,6794 на незалежній тестовій вибірці за чутливості 0,8293 і специфічності 0,7617, що підтверджує працездатність власної компактної архітектури, навченої з нуля.</w:t>
      </w:r>
    </w:p>
    <w:p>
      <w:pPr>
        <w:spacing w:after="0" w:line="276" w:lineRule="auto"/>
        <w:ind w:firstLine="850"/>
        <w:jc w:val="both"/>
      </w:pPr>
      <w:r>
        <w:rPr>
          <w:rFonts w:ascii="Times New Roman" w:hAnsi="Times New Roman"/>
          <w:b w:val="0"/>
          <w:i w:val="0"/>
          <w:sz w:val="26"/>
        </w:rPr>
        <w:t>Ключові слова: пневмонія, легеневе затемнення, рентгенографія органів грудної клітки, згорткова нейронна мережа, глибинне навчання, комп'ютерна підтримка діагностики, DICOM, карта активації класу, ONNX, мобільний застосунок, Flutter, PulmoNet-7M.</w:t>
      </w:r>
    </w:p>
    <w:p>
      <w:r>
        <w:br w:type="page"/>
      </w:r>
    </w:p>
    <w:p>
      <w:pPr>
        <w:spacing w:after="200" w:line="276" w:lineRule="auto"/>
        <w:ind w:firstLine="0"/>
        <w:jc w:val="center"/>
      </w:pPr>
      <w:r>
        <w:rPr>
          <w:rFonts w:ascii="Times New Roman" w:hAnsi="Times New Roman"/>
          <w:b/>
          <w:i w:val="0"/>
          <w:sz w:val="30"/>
        </w:rPr>
        <w:t>ABSTRACT</w:t>
      </w:r>
    </w:p>
    <w:p>
      <w:pPr>
        <w:spacing w:after="80" w:line="276" w:lineRule="auto"/>
        <w:ind w:firstLine="0"/>
        <w:jc w:val="both"/>
      </w:pPr>
      <w:r>
        <w:rPr>
          <w:rFonts w:ascii="Times New Roman" w:hAnsi="Times New Roman"/>
          <w:b w:val="0"/>
          <w:i w:val="0"/>
          <w:sz w:val="26"/>
        </w:rPr>
        <w:t>Explanatory note: ____ pages, ____ figures, ____ tables, 2 appendices, ____ sources.</w:t>
      </w:r>
    </w:p>
    <w:p>
      <w:pPr>
        <w:spacing w:after="0" w:line="276" w:lineRule="auto"/>
        <w:ind w:firstLine="850"/>
        <w:jc w:val="both"/>
      </w:pPr>
      <w:r>
        <w:rPr>
          <w:rFonts w:ascii="Times New Roman" w:hAnsi="Times New Roman"/>
          <w:b w:val="0"/>
          <w:i w:val="0"/>
          <w:sz w:val="26"/>
        </w:rPr>
        <w:t>Object of research: the process of automated detection of lung opacity signs on digital chest radiographs.</w:t>
      </w:r>
    </w:p>
    <w:p>
      <w:pPr>
        <w:spacing w:after="0" w:line="276" w:lineRule="auto"/>
        <w:ind w:firstLine="850"/>
        <w:jc w:val="both"/>
      </w:pPr>
      <w:r>
        <w:rPr>
          <w:rFonts w:ascii="Times New Roman" w:hAnsi="Times New Roman"/>
          <w:b w:val="0"/>
          <w:i w:val="0"/>
          <w:sz w:val="26"/>
        </w:rPr>
        <w:t>Subject of research: models, methods and software for binary classification of chest radiographs based on a custom convolutional neural network trained from scratch, methods of visual interpretation of its decisions and their deployment to a mobile device.</w:t>
      </w:r>
    </w:p>
    <w:p>
      <w:pPr>
        <w:spacing w:after="0" w:line="276" w:lineRule="auto"/>
        <w:ind w:firstLine="850"/>
        <w:jc w:val="both"/>
      </w:pPr>
      <w:r>
        <w:rPr>
          <w:rFonts w:ascii="Times New Roman" w:hAnsi="Times New Roman"/>
          <w:b w:val="0"/>
          <w:i w:val="0"/>
          <w:sz w:val="26"/>
        </w:rPr>
        <w:t>Purpose of the master's thesis: to improve the availability of primary chest radiograph analysis by developing a custom compact convolutional architecture for lung opacity detection and a mobile application that runs this model locally, offline, with a visual explanation of the result.</w:t>
      </w:r>
    </w:p>
    <w:p>
      <w:pPr>
        <w:spacing w:after="0" w:line="276" w:lineRule="auto"/>
        <w:ind w:firstLine="850"/>
        <w:jc w:val="both"/>
      </w:pPr>
      <w:r>
        <w:rPr>
          <w:rFonts w:ascii="Times New Roman" w:hAnsi="Times New Roman"/>
          <w:b w:val="0"/>
          <w:i w:val="0"/>
          <w:sz w:val="26"/>
        </w:rPr>
        <w:t>Source data: the open RSNA Pneumonia Detection Challenge 2018 dataset — 29,684 chest radiographs in DICOM format with expert annotation of three classes; the positive class accounts for 23.94 % of the sample.</w:t>
      </w:r>
    </w:p>
    <w:p>
      <w:pPr>
        <w:spacing w:after="0" w:line="276" w:lineRule="auto"/>
        <w:ind w:firstLine="850"/>
        <w:jc w:val="both"/>
      </w:pPr>
      <w:r>
        <w:rPr>
          <w:rFonts w:ascii="Times New Roman" w:hAnsi="Times New Roman"/>
          <w:b w:val="0"/>
          <w:i w:val="0"/>
          <w:sz w:val="26"/>
        </w:rPr>
        <w:t>Research methods: system analysis of the subject area, digital image processing, deep learning (convolutional neural networks, stochastic optimisation, regularisation, augmentation), mathematical statistics and diagnostic test theory (ROC and PR analysis, Youden's index), model interpretation methods, software engineering.</w:t>
      </w:r>
    </w:p>
    <w:p>
      <w:pPr>
        <w:spacing w:after="0" w:line="276" w:lineRule="auto"/>
        <w:ind w:firstLine="850"/>
        <w:jc w:val="both"/>
      </w:pPr>
      <w:r>
        <w:rPr>
          <w:rFonts w:ascii="Times New Roman" w:hAnsi="Times New Roman"/>
          <w:b w:val="0"/>
          <w:i w:val="0"/>
          <w:sz w:val="26"/>
        </w:rPr>
        <w:t>Originality of research: a custom compact convolutional architecture PulmoNet-7M (7,065,953 parameters) has been developed which, unlike known solutions, is designed directly for a single-channel radiographic input, is trained from scratch without pretrained weights and, owing to the global average pooling layer, computes its visual explanation in a single forward pass; the reproducibility of the prediction after deployment to a mobile device has been confirmed quantitatively (probability deviation up to 7.9e-07).</w:t>
      </w:r>
    </w:p>
    <w:p>
      <w:pPr>
        <w:spacing w:after="0" w:line="276" w:lineRule="auto"/>
        <w:ind w:firstLine="850"/>
        <w:jc w:val="both"/>
      </w:pPr>
      <w:r>
        <w:rPr>
          <w:rFonts w:ascii="Times New Roman" w:hAnsi="Times New Roman"/>
          <w:b w:val="0"/>
          <w:i w:val="0"/>
          <w:sz w:val="26"/>
        </w:rPr>
        <w:t>Practical value: a mobile application has been developed that analyses a radiograph entirely locally, without transmitting medical data over the network, and returns the probability of lung opacity together with a heat map in 214 ms on a commodity smartphone.</w:t>
      </w:r>
    </w:p>
    <w:p>
      <w:pPr>
        <w:spacing w:after="0" w:line="276" w:lineRule="auto"/>
        <w:ind w:firstLine="850"/>
        <w:jc w:val="both"/>
      </w:pPr>
      <w:r>
        <w:rPr>
          <w:rFonts w:ascii="Times New Roman" w:hAnsi="Times New Roman"/>
          <w:b w:val="0"/>
          <w:i w:val="0"/>
          <w:sz w:val="26"/>
        </w:rPr>
        <w:t>Scope of application: primary care facilities, mobile and field medical units, screening programmes.</w:t>
      </w:r>
    </w:p>
    <w:p>
      <w:pPr>
        <w:spacing w:after="0" w:line="276" w:lineRule="auto"/>
        <w:ind w:firstLine="850"/>
        <w:jc w:val="both"/>
      </w:pPr>
      <w:r>
        <w:rPr>
          <w:rFonts w:ascii="Times New Roman" w:hAnsi="Times New Roman"/>
          <w:b w:val="0"/>
          <w:i w:val="0"/>
          <w:sz w:val="26"/>
        </w:rPr>
        <w:t>The value of the work and conclusions: the model achieves a ROC-AUC of 0.8739 and an AUPRC of 0.6794 on an independent test set with a sensitivity of 0.8293 and a specificity of 0.7617, which confirms the viability of a custom compact architecture trained from scratch.</w:t>
      </w:r>
    </w:p>
    <w:p>
      <w:pPr>
        <w:spacing w:after="0" w:line="276" w:lineRule="auto"/>
        <w:ind w:firstLine="850"/>
        <w:jc w:val="both"/>
      </w:pPr>
      <w:r>
        <w:rPr>
          <w:rFonts w:ascii="Times New Roman" w:hAnsi="Times New Roman"/>
          <w:b w:val="0"/>
          <w:i w:val="0"/>
          <w:sz w:val="26"/>
        </w:rPr>
        <w:t>Keywords: pneumonia, lung opacity, chest X-ray, convolutional neural network, deep learning, computer-aided diagnosis, DICOM, class activation mapping, ONNX, mobile application, Flutter, PulmoNet-7M.</w:t>
      </w:r>
    </w:p>
    <w:p>
      <w:r>
        <w:br w:type="page"/>
      </w:r>
    </w:p>
    <w:p>
      <w:pPr>
        <w:spacing w:after="240" w:line="276" w:lineRule="auto"/>
        <w:ind w:firstLine="0"/>
        <w:jc w:val="center"/>
      </w:pPr>
      <w:r>
        <w:rPr>
          <w:rFonts w:ascii="Times New Roman" w:hAnsi="Times New Roman"/>
          <w:b/>
          <w:i w:val="0"/>
          <w:sz w:val="30"/>
        </w:rPr>
        <w:t>ПЕРЕЛІК УМОВНИХ ПОЗНАЧЕНЬ</w:t>
      </w:r>
    </w:p>
    <w:p>
      <w:pPr>
        <w:spacing w:after="0" w:line="276" w:lineRule="auto"/>
        <w:ind w:firstLine="0" w:left="850"/>
        <w:jc w:val="both"/>
      </w:pPr>
      <w:r>
        <w:rPr>
          <w:rFonts w:ascii="Times New Roman" w:hAnsi="Times New Roman"/>
          <w:b w:val="0"/>
          <w:i w:val="0"/>
          <w:sz w:val="26"/>
        </w:rPr>
        <w:t>ЗНМ – згорткова нейронна мережа (Convolutional Neural Network);</w:t>
      </w:r>
    </w:p>
    <w:p>
      <w:pPr>
        <w:spacing w:after="0" w:line="276" w:lineRule="auto"/>
        <w:ind w:firstLine="0" w:left="850"/>
        <w:jc w:val="both"/>
      </w:pPr>
      <w:r>
        <w:rPr>
          <w:rFonts w:ascii="Times New Roman" w:hAnsi="Times New Roman"/>
          <w:b w:val="0"/>
          <w:i w:val="0"/>
          <w:sz w:val="26"/>
        </w:rPr>
        <w:t>ОГК – органи грудної клітки;</w:t>
      </w:r>
    </w:p>
    <w:p>
      <w:pPr>
        <w:spacing w:after="0" w:line="276" w:lineRule="auto"/>
        <w:ind w:firstLine="0" w:left="850"/>
        <w:jc w:val="both"/>
      </w:pPr>
      <w:r>
        <w:rPr>
          <w:rFonts w:ascii="Times New Roman" w:hAnsi="Times New Roman"/>
          <w:b w:val="0"/>
          <w:i w:val="0"/>
          <w:sz w:val="26"/>
        </w:rPr>
        <w:t>ПЗ – програмне забезпечення;</w:t>
      </w:r>
    </w:p>
    <w:p>
      <w:pPr>
        <w:spacing w:after="0" w:line="276" w:lineRule="auto"/>
        <w:ind w:firstLine="0" w:left="850"/>
        <w:jc w:val="both"/>
      </w:pPr>
      <w:r>
        <w:rPr>
          <w:rFonts w:ascii="Times New Roman" w:hAnsi="Times New Roman"/>
          <w:b w:val="0"/>
          <w:i w:val="0"/>
          <w:sz w:val="26"/>
        </w:rPr>
        <w:t>СППР – система підтримки прийняття рішень;</w:t>
      </w:r>
    </w:p>
    <w:p>
      <w:pPr>
        <w:spacing w:after="0" w:line="276" w:lineRule="auto"/>
        <w:ind w:firstLine="0" w:left="850"/>
        <w:jc w:val="both"/>
      </w:pPr>
      <w:r>
        <w:rPr>
          <w:rFonts w:ascii="Times New Roman" w:hAnsi="Times New Roman"/>
          <w:b w:val="0"/>
          <w:i w:val="0"/>
          <w:sz w:val="26"/>
        </w:rPr>
        <w:t>AP – anteroposterior — передньозадня проєкція знімання;</w:t>
      </w:r>
    </w:p>
    <w:p>
      <w:pPr>
        <w:spacing w:after="0" w:line="276" w:lineRule="auto"/>
        <w:ind w:firstLine="0" w:left="850"/>
        <w:jc w:val="both"/>
      </w:pPr>
      <w:r>
        <w:rPr>
          <w:rFonts w:ascii="Times New Roman" w:hAnsi="Times New Roman"/>
          <w:b w:val="0"/>
          <w:i w:val="0"/>
          <w:sz w:val="26"/>
        </w:rPr>
        <w:t>AUPRC – Area Under the Precision-Recall Curve — площа під кривою «повнота — точність»;</w:t>
      </w:r>
    </w:p>
    <w:p>
      <w:pPr>
        <w:spacing w:after="0" w:line="276" w:lineRule="auto"/>
        <w:ind w:firstLine="0" w:left="850"/>
        <w:jc w:val="both"/>
      </w:pPr>
      <w:r>
        <w:rPr>
          <w:rFonts w:ascii="Times New Roman" w:hAnsi="Times New Roman"/>
          <w:b w:val="0"/>
          <w:i w:val="0"/>
          <w:sz w:val="26"/>
        </w:rPr>
        <w:t>BCE – Binary Cross-Entropy — бінарна перехресна ентропія;</w:t>
      </w:r>
    </w:p>
    <w:p>
      <w:pPr>
        <w:spacing w:after="0" w:line="276" w:lineRule="auto"/>
        <w:ind w:firstLine="0" w:left="850"/>
        <w:jc w:val="both"/>
      </w:pPr>
      <w:r>
        <w:rPr>
          <w:rFonts w:ascii="Times New Roman" w:hAnsi="Times New Roman"/>
          <w:b w:val="0"/>
          <w:i w:val="0"/>
          <w:sz w:val="26"/>
        </w:rPr>
        <w:t>CAD – Computer-Aided Diagnosis — комп'ютерна підтримка діагностики;</w:t>
      </w:r>
    </w:p>
    <w:p>
      <w:pPr>
        <w:spacing w:after="0" w:line="276" w:lineRule="auto"/>
        <w:ind w:firstLine="0" w:left="850"/>
        <w:jc w:val="both"/>
      </w:pPr>
      <w:r>
        <w:rPr>
          <w:rFonts w:ascii="Times New Roman" w:hAnsi="Times New Roman"/>
          <w:b w:val="0"/>
          <w:i w:val="0"/>
          <w:sz w:val="26"/>
        </w:rPr>
        <w:t>CAM – Class Activation Mapping — карта активації класу;</w:t>
      </w:r>
    </w:p>
    <w:p>
      <w:pPr>
        <w:spacing w:after="0" w:line="276" w:lineRule="auto"/>
        <w:ind w:firstLine="0" w:left="850"/>
        <w:jc w:val="both"/>
      </w:pPr>
      <w:r>
        <w:rPr>
          <w:rFonts w:ascii="Times New Roman" w:hAnsi="Times New Roman"/>
          <w:b w:val="0"/>
          <w:i w:val="0"/>
          <w:sz w:val="26"/>
        </w:rPr>
        <w:t>CNN – Convolutional Neural Network — згорткова нейронна мережа;</w:t>
      </w:r>
    </w:p>
    <w:p>
      <w:pPr>
        <w:spacing w:after="0" w:line="276" w:lineRule="auto"/>
        <w:ind w:firstLine="0" w:left="850"/>
        <w:jc w:val="both"/>
      </w:pPr>
      <w:r>
        <w:rPr>
          <w:rFonts w:ascii="Times New Roman" w:hAnsi="Times New Roman"/>
          <w:b w:val="0"/>
          <w:i w:val="0"/>
          <w:sz w:val="26"/>
        </w:rPr>
        <w:t>CXR – Chest X-Ray — рентгенограма органів грудної клітки;</w:t>
      </w:r>
    </w:p>
    <w:p>
      <w:pPr>
        <w:spacing w:after="0" w:line="276" w:lineRule="auto"/>
        <w:ind w:firstLine="0" w:left="850"/>
        <w:jc w:val="both"/>
      </w:pPr>
      <w:r>
        <w:rPr>
          <w:rFonts w:ascii="Times New Roman" w:hAnsi="Times New Roman"/>
          <w:b w:val="0"/>
          <w:i w:val="0"/>
          <w:sz w:val="26"/>
        </w:rPr>
        <w:t>DICOM – Digital Imaging and Communications in Medicine — стандарт зберігання та передавання медичних зображень;</w:t>
      </w:r>
    </w:p>
    <w:p>
      <w:pPr>
        <w:spacing w:after="0" w:line="276" w:lineRule="auto"/>
        <w:ind w:firstLine="0" w:left="850"/>
        <w:jc w:val="both"/>
      </w:pPr>
      <w:r>
        <w:rPr>
          <w:rFonts w:ascii="Times New Roman" w:hAnsi="Times New Roman"/>
          <w:b w:val="0"/>
          <w:i w:val="0"/>
          <w:sz w:val="26"/>
        </w:rPr>
        <w:t>FN – False Negative — хибно негативний результат;</w:t>
      </w:r>
    </w:p>
    <w:p>
      <w:pPr>
        <w:spacing w:after="0" w:line="276" w:lineRule="auto"/>
        <w:ind w:firstLine="0" w:left="850"/>
        <w:jc w:val="both"/>
      </w:pPr>
      <w:r>
        <w:rPr>
          <w:rFonts w:ascii="Times New Roman" w:hAnsi="Times New Roman"/>
          <w:b w:val="0"/>
          <w:i w:val="0"/>
          <w:sz w:val="26"/>
        </w:rPr>
        <w:t>FP – False Positive — хибно позитивний результат;</w:t>
      </w:r>
    </w:p>
    <w:p>
      <w:pPr>
        <w:spacing w:after="0" w:line="276" w:lineRule="auto"/>
        <w:ind w:firstLine="0" w:left="850"/>
        <w:jc w:val="both"/>
      </w:pPr>
      <w:r>
        <w:rPr>
          <w:rFonts w:ascii="Times New Roman" w:hAnsi="Times New Roman"/>
          <w:b w:val="0"/>
          <w:i w:val="0"/>
          <w:sz w:val="26"/>
        </w:rPr>
        <w:t>GAP – Global Average Pooling — глобальне усереднення карт ознак;</w:t>
      </w:r>
    </w:p>
    <w:p>
      <w:pPr>
        <w:spacing w:after="0" w:line="276" w:lineRule="auto"/>
        <w:ind w:firstLine="0" w:left="850"/>
        <w:jc w:val="both"/>
      </w:pPr>
      <w:r>
        <w:rPr>
          <w:rFonts w:ascii="Times New Roman" w:hAnsi="Times New Roman"/>
          <w:b w:val="0"/>
          <w:i w:val="0"/>
          <w:sz w:val="26"/>
        </w:rPr>
        <w:t>GPU – Graphics Processing Unit — графічний процесор;</w:t>
      </w:r>
    </w:p>
    <w:p>
      <w:pPr>
        <w:spacing w:after="0" w:line="276" w:lineRule="auto"/>
        <w:ind w:firstLine="0" w:left="850"/>
        <w:jc w:val="both"/>
      </w:pPr>
      <w:r>
        <w:rPr>
          <w:rFonts w:ascii="Times New Roman" w:hAnsi="Times New Roman"/>
          <w:b w:val="0"/>
          <w:i w:val="0"/>
          <w:sz w:val="26"/>
        </w:rPr>
        <w:t>Grad-CAM – Gradient-weighted Class Activation Mapping;</w:t>
      </w:r>
    </w:p>
    <w:p>
      <w:pPr>
        <w:spacing w:after="0" w:line="276" w:lineRule="auto"/>
        <w:ind w:firstLine="0" w:left="850"/>
        <w:jc w:val="both"/>
      </w:pPr>
      <w:r>
        <w:rPr>
          <w:rFonts w:ascii="Times New Roman" w:hAnsi="Times New Roman"/>
          <w:b w:val="0"/>
          <w:i w:val="0"/>
          <w:sz w:val="26"/>
        </w:rPr>
        <w:t>HOG – Histogram of Oriented Gradients — гістограма орієнтованих градієнтів;</w:t>
      </w:r>
    </w:p>
    <w:p>
      <w:pPr>
        <w:spacing w:after="0" w:line="276" w:lineRule="auto"/>
        <w:ind w:firstLine="0" w:left="850"/>
        <w:jc w:val="both"/>
      </w:pPr>
      <w:r>
        <w:rPr>
          <w:rFonts w:ascii="Times New Roman" w:hAnsi="Times New Roman"/>
          <w:b w:val="0"/>
          <w:i w:val="0"/>
          <w:sz w:val="26"/>
        </w:rPr>
        <w:t>LBP – Local Binary Patterns — локальні бінарні шаблони;</w:t>
      </w:r>
    </w:p>
    <w:p>
      <w:pPr>
        <w:spacing w:after="0" w:line="276" w:lineRule="auto"/>
        <w:ind w:firstLine="0" w:left="850"/>
        <w:jc w:val="both"/>
      </w:pPr>
      <w:r>
        <w:rPr>
          <w:rFonts w:ascii="Times New Roman" w:hAnsi="Times New Roman"/>
          <w:b w:val="0"/>
          <w:i w:val="0"/>
          <w:sz w:val="26"/>
        </w:rPr>
        <w:t>ONNX – Open Neural Network Exchange — відкритий формат обміну моделями нейронних мереж;</w:t>
      </w:r>
    </w:p>
    <w:p>
      <w:pPr>
        <w:spacing w:after="0" w:line="276" w:lineRule="auto"/>
        <w:ind w:firstLine="0" w:left="850"/>
        <w:jc w:val="both"/>
      </w:pPr>
      <w:r>
        <w:rPr>
          <w:rFonts w:ascii="Times New Roman" w:hAnsi="Times New Roman"/>
          <w:b w:val="0"/>
          <w:i w:val="0"/>
          <w:sz w:val="26"/>
        </w:rPr>
        <w:t>ORT – ONNX Runtime — середовище виконання моделей формату ONNX;</w:t>
      </w:r>
    </w:p>
    <w:p>
      <w:pPr>
        <w:spacing w:after="0" w:line="276" w:lineRule="auto"/>
        <w:ind w:firstLine="0" w:left="850"/>
        <w:jc w:val="both"/>
      </w:pPr>
      <w:r>
        <w:rPr>
          <w:rFonts w:ascii="Times New Roman" w:hAnsi="Times New Roman"/>
          <w:b w:val="0"/>
          <w:i w:val="0"/>
          <w:sz w:val="26"/>
        </w:rPr>
        <w:t>PA – posteroanterior — задньопередня проєкція знімання;</w:t>
      </w:r>
    </w:p>
    <w:p>
      <w:pPr>
        <w:spacing w:after="0" w:line="276" w:lineRule="auto"/>
        <w:ind w:firstLine="0" w:left="850"/>
        <w:jc w:val="both"/>
      </w:pPr>
      <w:r>
        <w:rPr>
          <w:rFonts w:ascii="Times New Roman" w:hAnsi="Times New Roman"/>
          <w:b w:val="0"/>
          <w:i w:val="0"/>
          <w:sz w:val="26"/>
        </w:rPr>
        <w:t>ReLU – Rectified Linear Unit — функція активації;</w:t>
      </w:r>
    </w:p>
    <w:p>
      <w:pPr>
        <w:spacing w:after="0" w:line="276" w:lineRule="auto"/>
        <w:ind w:firstLine="0" w:left="850"/>
        <w:jc w:val="both"/>
      </w:pPr>
      <w:r>
        <w:rPr>
          <w:rFonts w:ascii="Times New Roman" w:hAnsi="Times New Roman"/>
          <w:b w:val="0"/>
          <w:i w:val="0"/>
          <w:sz w:val="26"/>
        </w:rPr>
        <w:t>ROC-AUC – Area Under the Receiver Operating Characteristic Curve — площа під кривою робочих характеристик;</w:t>
      </w:r>
    </w:p>
    <w:p>
      <w:pPr>
        <w:spacing w:after="0" w:line="276" w:lineRule="auto"/>
        <w:ind w:firstLine="0" w:left="850"/>
        <w:jc w:val="both"/>
      </w:pPr>
      <w:r>
        <w:rPr>
          <w:rFonts w:ascii="Times New Roman" w:hAnsi="Times New Roman"/>
          <w:b w:val="0"/>
          <w:i w:val="0"/>
          <w:sz w:val="26"/>
        </w:rPr>
        <w:t>RSNA – Radiological Society of North America — Радіологічне товариство Північної Америки;</w:t>
      </w:r>
    </w:p>
    <w:p>
      <w:pPr>
        <w:spacing w:after="0" w:line="276" w:lineRule="auto"/>
        <w:ind w:firstLine="0" w:left="850"/>
        <w:jc w:val="both"/>
      </w:pPr>
      <w:r>
        <w:rPr>
          <w:rFonts w:ascii="Times New Roman" w:hAnsi="Times New Roman"/>
          <w:b w:val="0"/>
          <w:i w:val="0"/>
          <w:sz w:val="26"/>
        </w:rPr>
        <w:t>SVM – Support Vector Machine — метод опорних векторів;</w:t>
      </w:r>
    </w:p>
    <w:p>
      <w:pPr>
        <w:spacing w:after="0" w:line="276" w:lineRule="auto"/>
        <w:ind w:firstLine="0" w:left="850"/>
        <w:jc w:val="both"/>
      </w:pPr>
      <w:r>
        <w:rPr>
          <w:rFonts w:ascii="Times New Roman" w:hAnsi="Times New Roman"/>
          <w:b w:val="0"/>
          <w:i w:val="0"/>
          <w:sz w:val="26"/>
        </w:rPr>
        <w:t>TN – True Negative — істинно негативний результат;</w:t>
      </w:r>
    </w:p>
    <w:p>
      <w:pPr>
        <w:spacing w:after="0" w:line="276" w:lineRule="auto"/>
        <w:ind w:firstLine="0" w:left="850"/>
        <w:jc w:val="both"/>
      </w:pPr>
      <w:r>
        <w:rPr>
          <w:rFonts w:ascii="Times New Roman" w:hAnsi="Times New Roman"/>
          <w:b w:val="0"/>
          <w:i w:val="0"/>
          <w:sz w:val="26"/>
        </w:rPr>
        <w:t>TP – True Positive — істинно позитивний результат.</w:t>
      </w:r>
    </w:p>
    <w:p>
      <w:r>
        <w:br w:type="page"/>
      </w:r>
    </w:p>
    <w:p>
      <w:pPr>
        <w:spacing w:after="240"/>
        <w:ind w:firstLine="0"/>
        <w:jc w:val="center"/>
      </w:pPr>
      <w:r>
        <w:rPr>
          <w:rFonts w:ascii="Times New Roman" w:hAnsi="Times New Roman"/>
          <w:b/>
          <w:i w:val="0"/>
          <w:sz w:val="30"/>
        </w:rPr>
        <w:t>ЗМІСТ</w:t>
      </w:r>
    </w:p>
    <w:p>
      <w:pPr>
        <w:tabs>
          <w:tab w:pos="9638" w:val="right" w:leader="dot"/>
        </w:tabs>
        <w:spacing w:after="0" w:line="360" w:lineRule="auto"/>
        <w:ind w:firstLine="0" w:left="0"/>
        <w:jc w:val="left"/>
      </w:pPr>
      <w:r>
        <w:rPr>
          <w:rFonts w:ascii="Times New Roman" w:hAnsi="Times New Roman"/>
          <w:b/>
          <w:sz w:val="26"/>
        </w:rPr>
        <w:t>ВСТУП</w:t>
        <w:tab/>
        <w:t>___</w:t>
      </w:r>
    </w:p>
    <w:p>
      <w:pPr>
        <w:tabs>
          <w:tab w:pos="9638" w:val="right" w:leader="dot"/>
        </w:tabs>
        <w:spacing w:after="0" w:line="360" w:lineRule="auto"/>
        <w:ind w:firstLine="0" w:left="0"/>
        <w:jc w:val="left"/>
      </w:pPr>
      <w:r>
        <w:rPr>
          <w:rFonts w:ascii="Times New Roman" w:hAnsi="Times New Roman"/>
          <w:b/>
          <w:sz w:val="26"/>
        </w:rPr>
        <w:t>РОЗДІЛ 1. АНАЛІЗ ПРЕДМЕТНОЇ ОБЛАСТІ ТА ПОСТАНОВКА ЗАДАЧІ</w:t>
        <w:tab/>
        <w:t>___</w:t>
      </w:r>
    </w:p>
    <w:p>
      <w:pPr>
        <w:tabs>
          <w:tab w:pos="9071" w:val="right" w:leader="dot"/>
        </w:tabs>
        <w:spacing w:after="0" w:line="360" w:lineRule="auto"/>
        <w:ind w:firstLine="0" w:left="567"/>
        <w:jc w:val="left"/>
      </w:pPr>
      <w:r>
        <w:rPr>
          <w:rFonts w:ascii="Times New Roman" w:hAnsi="Times New Roman"/>
          <w:b w:val="0"/>
          <w:sz w:val="26"/>
        </w:rPr>
        <w:t>1.1. Пневмонія та рентгенографія органів грудної клітки як предметна область дослідження</w:t>
        <w:tab/>
        <w:t>___</w:t>
      </w:r>
    </w:p>
    <w:p>
      <w:pPr>
        <w:tabs>
          <w:tab w:pos="9071" w:val="right" w:leader="dot"/>
        </w:tabs>
        <w:spacing w:after="0" w:line="360" w:lineRule="auto"/>
        <w:ind w:firstLine="0" w:left="567"/>
        <w:jc w:val="left"/>
      </w:pPr>
      <w:r>
        <w:rPr>
          <w:rFonts w:ascii="Times New Roman" w:hAnsi="Times New Roman"/>
          <w:b w:val="0"/>
          <w:sz w:val="26"/>
        </w:rPr>
        <w:t>1.2. Системи комп'ютерної підтримки діагностики та класичні методи аналізу медичних зображень</w:t>
        <w:tab/>
        <w:t>___</w:t>
      </w:r>
    </w:p>
    <w:p>
      <w:pPr>
        <w:tabs>
          <w:tab w:pos="9071" w:val="right" w:leader="dot"/>
        </w:tabs>
        <w:spacing w:after="0" w:line="360" w:lineRule="auto"/>
        <w:ind w:firstLine="0" w:left="567"/>
        <w:jc w:val="left"/>
      </w:pPr>
      <w:r>
        <w:rPr>
          <w:rFonts w:ascii="Times New Roman" w:hAnsi="Times New Roman"/>
          <w:b w:val="0"/>
          <w:sz w:val="26"/>
        </w:rPr>
        <w:t>1.3. Згорткові нейронні мережі у задачах класифікації медичних зображень</w:t>
        <w:tab/>
        <w:t>___</w:t>
      </w:r>
    </w:p>
    <w:p>
      <w:pPr>
        <w:tabs>
          <w:tab w:pos="9071" w:val="right" w:leader="dot"/>
        </w:tabs>
        <w:spacing w:after="0" w:line="360" w:lineRule="auto"/>
        <w:ind w:firstLine="0" w:left="567"/>
        <w:jc w:val="left"/>
      </w:pPr>
      <w:r>
        <w:rPr>
          <w:rFonts w:ascii="Times New Roman" w:hAnsi="Times New Roman"/>
          <w:b w:val="0"/>
          <w:sz w:val="26"/>
        </w:rPr>
        <w:t>1.4. Інтерпретованість моделей глибинного навчання в медичній діагностиці</w:t>
        <w:tab/>
        <w:t>___</w:t>
      </w:r>
    </w:p>
    <w:p>
      <w:pPr>
        <w:tabs>
          <w:tab w:pos="9071" w:val="right" w:leader="dot"/>
        </w:tabs>
        <w:spacing w:after="0" w:line="360" w:lineRule="auto"/>
        <w:ind w:firstLine="0" w:left="567"/>
        <w:jc w:val="left"/>
      </w:pPr>
      <w:r>
        <w:rPr>
          <w:rFonts w:ascii="Times New Roman" w:hAnsi="Times New Roman"/>
          <w:b w:val="0"/>
          <w:sz w:val="26"/>
        </w:rPr>
        <w:t>1.5. Набори даних та метрики оцінювання якості</w:t>
        <w:tab/>
        <w:t>___</w:t>
      </w:r>
    </w:p>
    <w:p>
      <w:pPr>
        <w:tabs>
          <w:tab w:pos="9071" w:val="right" w:leader="dot"/>
        </w:tabs>
        <w:spacing w:after="0" w:line="360" w:lineRule="auto"/>
        <w:ind w:firstLine="0" w:left="567"/>
        <w:jc w:val="left"/>
      </w:pPr>
      <w:r>
        <w:rPr>
          <w:rFonts w:ascii="Times New Roman" w:hAnsi="Times New Roman"/>
          <w:b w:val="0"/>
          <w:sz w:val="26"/>
        </w:rPr>
        <w:t>1.6. Особливості розгортання моделей глибинного навчання на мобільних пристроях</w:t>
        <w:tab/>
        <w:t>___</w:t>
      </w:r>
    </w:p>
    <w:p>
      <w:pPr>
        <w:tabs>
          <w:tab w:pos="9071" w:val="right" w:leader="dot"/>
        </w:tabs>
        <w:spacing w:after="0" w:line="360" w:lineRule="auto"/>
        <w:ind w:firstLine="0" w:left="567"/>
        <w:jc w:val="left"/>
      </w:pPr>
      <w:r>
        <w:rPr>
          <w:rFonts w:ascii="Times New Roman" w:hAnsi="Times New Roman"/>
          <w:b w:val="0"/>
          <w:sz w:val="26"/>
        </w:rPr>
        <w:t>1.7. Системний аналіз об'єкта дослідження та постановка задачі</w:t>
        <w:tab/>
        <w:t>___</w:t>
      </w:r>
    </w:p>
    <w:p>
      <w:pPr>
        <w:tabs>
          <w:tab w:pos="9071" w:val="right" w:leader="dot"/>
        </w:tabs>
        <w:spacing w:after="0" w:line="360" w:lineRule="auto"/>
        <w:ind w:firstLine="0" w:left="567"/>
        <w:jc w:val="left"/>
      </w:pPr>
      <w:r>
        <w:rPr>
          <w:rFonts w:ascii="Times New Roman" w:hAnsi="Times New Roman"/>
          <w:b w:val="0"/>
          <w:sz w:val="26"/>
        </w:rPr>
        <w:t>Висновки до розділу 1</w:t>
        <w:tab/>
        <w:t>___</w:t>
      </w:r>
    </w:p>
    <w:p>
      <w:pPr>
        <w:tabs>
          <w:tab w:pos="9638" w:val="right" w:leader="dot"/>
        </w:tabs>
        <w:spacing w:after="0" w:line="360" w:lineRule="auto"/>
        <w:ind w:firstLine="0" w:left="0"/>
        <w:jc w:val="left"/>
      </w:pPr>
      <w:r>
        <w:rPr>
          <w:rFonts w:ascii="Times New Roman" w:hAnsi="Times New Roman"/>
          <w:b/>
          <w:sz w:val="26"/>
        </w:rPr>
        <w:t>РОЗДІЛ 2. МЕТОДИКА ДОСЛІДЖЕННЯ ТА ПІДГОТОВКА ДАНИХ</w:t>
        <w:tab/>
        <w:t>___</w:t>
      </w:r>
    </w:p>
    <w:p>
      <w:pPr>
        <w:tabs>
          <w:tab w:pos="9071" w:val="right" w:leader="dot"/>
        </w:tabs>
        <w:spacing w:after="0" w:line="360" w:lineRule="auto"/>
        <w:ind w:firstLine="0" w:left="567"/>
        <w:jc w:val="left"/>
      </w:pPr>
      <w:r>
        <w:rPr>
          <w:rFonts w:ascii="Times New Roman" w:hAnsi="Times New Roman"/>
          <w:b w:val="0"/>
          <w:sz w:val="26"/>
        </w:rPr>
        <w:t>2.1. Загальна методика дослідження</w:t>
        <w:tab/>
        <w:t>___</w:t>
      </w:r>
    </w:p>
    <w:p>
      <w:pPr>
        <w:tabs>
          <w:tab w:pos="9071" w:val="right" w:leader="dot"/>
        </w:tabs>
        <w:spacing w:after="0" w:line="360" w:lineRule="auto"/>
        <w:ind w:firstLine="0" w:left="567"/>
        <w:jc w:val="left"/>
      </w:pPr>
      <w:r>
        <w:rPr>
          <w:rFonts w:ascii="Times New Roman" w:hAnsi="Times New Roman"/>
          <w:b w:val="0"/>
          <w:sz w:val="26"/>
        </w:rPr>
        <w:t>2.2. Характеристика набору даних RSNA Pneumonia Detection Challenge 2018</w:t>
        <w:tab/>
        <w:t>___</w:t>
      </w:r>
    </w:p>
    <w:p>
      <w:pPr>
        <w:tabs>
          <w:tab w:pos="9071" w:val="right" w:leader="dot"/>
        </w:tabs>
        <w:spacing w:after="0" w:line="360" w:lineRule="auto"/>
        <w:ind w:firstLine="0" w:left="567"/>
        <w:jc w:val="left"/>
      </w:pPr>
      <w:r>
        <w:rPr>
          <w:rFonts w:ascii="Times New Roman" w:hAnsi="Times New Roman"/>
          <w:b w:val="0"/>
          <w:sz w:val="26"/>
        </w:rPr>
        <w:t>2.3. Аналіз анотацій та формування цільової мітки</w:t>
        <w:tab/>
        <w:t>___</w:t>
      </w:r>
    </w:p>
    <w:p>
      <w:pPr>
        <w:tabs>
          <w:tab w:pos="9071" w:val="right" w:leader="dot"/>
        </w:tabs>
        <w:spacing w:after="0" w:line="360" w:lineRule="auto"/>
        <w:ind w:firstLine="0" w:left="567"/>
        <w:jc w:val="left"/>
      </w:pPr>
      <w:r>
        <w:rPr>
          <w:rFonts w:ascii="Times New Roman" w:hAnsi="Times New Roman"/>
          <w:b w:val="0"/>
          <w:sz w:val="26"/>
        </w:rPr>
        <w:t>2.4. Опрацювання формату DICOM та попередня обробка зображень</w:t>
        <w:tab/>
        <w:t>___</w:t>
      </w:r>
    </w:p>
    <w:p>
      <w:pPr>
        <w:tabs>
          <w:tab w:pos="9071" w:val="right" w:leader="dot"/>
        </w:tabs>
        <w:spacing w:after="0" w:line="360" w:lineRule="auto"/>
        <w:ind w:firstLine="0" w:left="567"/>
        <w:jc w:val="left"/>
      </w:pPr>
      <w:r>
        <w:rPr>
          <w:rFonts w:ascii="Times New Roman" w:hAnsi="Times New Roman"/>
          <w:b w:val="0"/>
          <w:sz w:val="26"/>
        </w:rPr>
        <w:t>2.5. Поділ вибірки на рівні пацієнта</w:t>
        <w:tab/>
        <w:t>___</w:t>
      </w:r>
    </w:p>
    <w:p>
      <w:pPr>
        <w:tabs>
          <w:tab w:pos="9071" w:val="right" w:leader="dot"/>
        </w:tabs>
        <w:spacing w:after="0" w:line="360" w:lineRule="auto"/>
        <w:ind w:firstLine="0" w:left="567"/>
        <w:jc w:val="left"/>
      </w:pPr>
      <w:r>
        <w:rPr>
          <w:rFonts w:ascii="Times New Roman" w:hAnsi="Times New Roman"/>
          <w:b w:val="0"/>
          <w:sz w:val="26"/>
        </w:rPr>
        <w:t>2.6. Аугментація навчальних даних</w:t>
        <w:tab/>
        <w:t>___</w:t>
      </w:r>
    </w:p>
    <w:p>
      <w:pPr>
        <w:tabs>
          <w:tab w:pos="9071" w:val="right" w:leader="dot"/>
        </w:tabs>
        <w:spacing w:after="0" w:line="360" w:lineRule="auto"/>
        <w:ind w:firstLine="0" w:left="567"/>
        <w:jc w:val="left"/>
      </w:pPr>
      <w:r>
        <w:rPr>
          <w:rFonts w:ascii="Times New Roman" w:hAnsi="Times New Roman"/>
          <w:b w:val="0"/>
          <w:sz w:val="26"/>
        </w:rPr>
        <w:t>2.7. Обґрунтування функції втрат та системи метрик</w:t>
        <w:tab/>
        <w:t>___</w:t>
      </w:r>
    </w:p>
    <w:p>
      <w:pPr>
        <w:tabs>
          <w:tab w:pos="9071" w:val="right" w:leader="dot"/>
        </w:tabs>
        <w:spacing w:after="0" w:line="360" w:lineRule="auto"/>
        <w:ind w:firstLine="0" w:left="567"/>
        <w:jc w:val="left"/>
      </w:pPr>
      <w:r>
        <w:rPr>
          <w:rFonts w:ascii="Times New Roman" w:hAnsi="Times New Roman"/>
          <w:b w:val="0"/>
          <w:sz w:val="26"/>
        </w:rPr>
        <w:t>Висновки до розділу 2</w:t>
        <w:tab/>
        <w:t>___</w:t>
      </w:r>
    </w:p>
    <w:p>
      <w:pPr>
        <w:tabs>
          <w:tab w:pos="9638" w:val="right" w:leader="dot"/>
        </w:tabs>
        <w:spacing w:after="0" w:line="360" w:lineRule="auto"/>
        <w:ind w:firstLine="0" w:left="0"/>
        <w:jc w:val="left"/>
      </w:pPr>
      <w:r>
        <w:rPr>
          <w:rFonts w:ascii="Times New Roman" w:hAnsi="Times New Roman"/>
          <w:b/>
          <w:sz w:val="26"/>
        </w:rPr>
        <w:t>РОЗДІЛ 3. РОЗРОБЛЕННЯ АРХІТЕКТУРИ PULMONET-7M ТА НАВЧАННЯ МОДЕЛІ</w:t>
        <w:tab/>
        <w:t>___</w:t>
      </w:r>
    </w:p>
    <w:p>
      <w:pPr>
        <w:tabs>
          <w:tab w:pos="9071" w:val="right" w:leader="dot"/>
        </w:tabs>
        <w:spacing w:after="0" w:line="360" w:lineRule="auto"/>
        <w:ind w:firstLine="0" w:left="567"/>
        <w:jc w:val="left"/>
      </w:pPr>
      <w:r>
        <w:rPr>
          <w:rFonts w:ascii="Times New Roman" w:hAnsi="Times New Roman"/>
          <w:b w:val="0"/>
          <w:sz w:val="26"/>
        </w:rPr>
        <w:t>3.1. Вимоги до архітектури та обґрунтування проєктних рішень</w:t>
        <w:tab/>
        <w:t>___</w:t>
      </w:r>
    </w:p>
    <w:p>
      <w:pPr>
        <w:tabs>
          <w:tab w:pos="9071" w:val="right" w:leader="dot"/>
        </w:tabs>
        <w:spacing w:after="0" w:line="360" w:lineRule="auto"/>
        <w:ind w:firstLine="0" w:left="567"/>
        <w:jc w:val="left"/>
      </w:pPr>
      <w:r>
        <w:rPr>
          <w:rFonts w:ascii="Times New Roman" w:hAnsi="Times New Roman"/>
          <w:b w:val="0"/>
          <w:sz w:val="26"/>
        </w:rPr>
        <w:t>3.2. Структура мережі PulmoNet-7M</w:t>
        <w:tab/>
        <w:t>___</w:t>
      </w:r>
    </w:p>
    <w:p>
      <w:pPr>
        <w:tabs>
          <w:tab w:pos="9071" w:val="right" w:leader="dot"/>
        </w:tabs>
        <w:spacing w:after="0" w:line="360" w:lineRule="auto"/>
        <w:ind w:firstLine="0" w:left="567"/>
        <w:jc w:val="left"/>
      </w:pPr>
      <w:r>
        <w:rPr>
          <w:rFonts w:ascii="Times New Roman" w:hAnsi="Times New Roman"/>
          <w:b w:val="0"/>
          <w:sz w:val="26"/>
        </w:rPr>
        <w:t>3.3. Методика навчання моделі</w:t>
        <w:tab/>
        <w:t>___</w:t>
      </w:r>
    </w:p>
    <w:p>
      <w:pPr>
        <w:tabs>
          <w:tab w:pos="9071" w:val="right" w:leader="dot"/>
        </w:tabs>
        <w:spacing w:after="0" w:line="360" w:lineRule="auto"/>
        <w:ind w:firstLine="0" w:left="567"/>
        <w:jc w:val="left"/>
      </w:pPr>
      <w:r>
        <w:rPr>
          <w:rFonts w:ascii="Times New Roman" w:hAnsi="Times New Roman"/>
          <w:b w:val="0"/>
          <w:sz w:val="26"/>
        </w:rPr>
        <w:t>3.4. Результати навчання та відбір моделі за валідаційною вибіркою</w:t>
        <w:tab/>
        <w:t>___</w:t>
      </w:r>
    </w:p>
    <w:p>
      <w:pPr>
        <w:tabs>
          <w:tab w:pos="9071" w:val="right" w:leader="dot"/>
        </w:tabs>
        <w:spacing w:after="0" w:line="360" w:lineRule="auto"/>
        <w:ind w:firstLine="0" w:left="567"/>
        <w:jc w:val="left"/>
      </w:pPr>
      <w:r>
        <w:rPr>
          <w:rFonts w:ascii="Times New Roman" w:hAnsi="Times New Roman"/>
          <w:b w:val="0"/>
          <w:sz w:val="26"/>
        </w:rPr>
        <w:t>3.5. Оцінювання на тестовій вибірці та аналіз структури помилок</w:t>
        <w:tab/>
        <w:t>___</w:t>
      </w:r>
    </w:p>
    <w:p>
      <w:pPr>
        <w:tabs>
          <w:tab w:pos="9071" w:val="right" w:leader="dot"/>
        </w:tabs>
        <w:spacing w:after="0" w:line="360" w:lineRule="auto"/>
        <w:ind w:firstLine="0" w:left="567"/>
        <w:jc w:val="left"/>
      </w:pPr>
      <w:r>
        <w:rPr>
          <w:rFonts w:ascii="Times New Roman" w:hAnsi="Times New Roman"/>
          <w:b w:val="0"/>
          <w:sz w:val="26"/>
        </w:rPr>
        <w:t>3.6. Дослідження порога бінаризації</w:t>
        <w:tab/>
        <w:t>___</w:t>
      </w:r>
    </w:p>
    <w:p>
      <w:pPr>
        <w:tabs>
          <w:tab w:pos="9071" w:val="right" w:leader="dot"/>
        </w:tabs>
        <w:spacing w:after="0" w:line="360" w:lineRule="auto"/>
        <w:ind w:firstLine="0" w:left="567"/>
        <w:jc w:val="left"/>
      </w:pPr>
      <w:r>
        <w:rPr>
          <w:rFonts w:ascii="Times New Roman" w:hAnsi="Times New Roman"/>
          <w:b w:val="0"/>
          <w:sz w:val="26"/>
        </w:rPr>
        <w:t>3.7. Візуальна інтерпретація результатів методом CAM</w:t>
        <w:tab/>
        <w:t>___</w:t>
      </w:r>
    </w:p>
    <w:p>
      <w:pPr>
        <w:tabs>
          <w:tab w:pos="9071" w:val="right" w:leader="dot"/>
        </w:tabs>
        <w:spacing w:after="0" w:line="360" w:lineRule="auto"/>
        <w:ind w:firstLine="0" w:left="567"/>
        <w:jc w:val="left"/>
      </w:pPr>
      <w:r>
        <w:rPr>
          <w:rFonts w:ascii="Times New Roman" w:hAnsi="Times New Roman"/>
          <w:b w:val="0"/>
          <w:sz w:val="26"/>
        </w:rPr>
        <w:t>Висновки до розділу 3</w:t>
        <w:tab/>
        <w:t>___</w:t>
      </w:r>
    </w:p>
    <w:p>
      <w:pPr>
        <w:tabs>
          <w:tab w:pos="9638" w:val="right" w:leader="dot"/>
        </w:tabs>
        <w:spacing w:after="0" w:line="360" w:lineRule="auto"/>
        <w:ind w:firstLine="0" w:left="0"/>
        <w:jc w:val="left"/>
      </w:pPr>
      <w:r>
        <w:rPr>
          <w:rFonts w:ascii="Times New Roman" w:hAnsi="Times New Roman"/>
          <w:b/>
          <w:sz w:val="26"/>
        </w:rPr>
        <w:t>РОЗДІЛ 4. ПРОГРАМНА РЕАЛІЗАЦІЯ МОБІЛЬНОГО ЗАСТОСУНКУ</w:t>
        <w:tab/>
        <w:t>___</w:t>
      </w:r>
    </w:p>
    <w:p>
      <w:pPr>
        <w:tabs>
          <w:tab w:pos="9071" w:val="right" w:leader="dot"/>
        </w:tabs>
        <w:spacing w:after="0" w:line="360" w:lineRule="auto"/>
        <w:ind w:firstLine="0" w:left="567"/>
        <w:jc w:val="left"/>
      </w:pPr>
      <w:r>
        <w:rPr>
          <w:rFonts w:ascii="Times New Roman" w:hAnsi="Times New Roman"/>
          <w:b w:val="0"/>
          <w:sz w:val="26"/>
        </w:rPr>
        <w:t>4.1. Архітектура програмного забезпечення</w:t>
        <w:tab/>
        <w:t>___</w:t>
      </w:r>
    </w:p>
    <w:p>
      <w:pPr>
        <w:tabs>
          <w:tab w:pos="9071" w:val="right" w:leader="dot"/>
        </w:tabs>
        <w:spacing w:after="0" w:line="360" w:lineRule="auto"/>
        <w:ind w:firstLine="0" w:left="567"/>
        <w:jc w:val="left"/>
      </w:pPr>
      <w:r>
        <w:rPr>
          <w:rFonts w:ascii="Times New Roman" w:hAnsi="Times New Roman"/>
          <w:b w:val="0"/>
          <w:sz w:val="26"/>
        </w:rPr>
        <w:t>4.2. Експорт моделі у формат ONNX та перевірка еквівалентності</w:t>
        <w:tab/>
        <w:t>___</w:t>
      </w:r>
    </w:p>
    <w:p>
      <w:pPr>
        <w:tabs>
          <w:tab w:pos="9071" w:val="right" w:leader="dot"/>
        </w:tabs>
        <w:spacing w:after="0" w:line="360" w:lineRule="auto"/>
        <w:ind w:firstLine="0" w:left="567"/>
        <w:jc w:val="left"/>
      </w:pPr>
      <w:r>
        <w:rPr>
          <w:rFonts w:ascii="Times New Roman" w:hAnsi="Times New Roman"/>
          <w:b w:val="0"/>
          <w:sz w:val="26"/>
        </w:rPr>
        <w:t>4.3. Забезпечення паритету попередньої обробки</w:t>
        <w:tab/>
        <w:t>___</w:t>
      </w:r>
    </w:p>
    <w:p>
      <w:pPr>
        <w:tabs>
          <w:tab w:pos="9071" w:val="right" w:leader="dot"/>
        </w:tabs>
        <w:spacing w:after="0" w:line="360" w:lineRule="auto"/>
        <w:ind w:firstLine="0" w:left="567"/>
        <w:jc w:val="left"/>
      </w:pPr>
      <w:r>
        <w:rPr>
          <w:rFonts w:ascii="Times New Roman" w:hAnsi="Times New Roman"/>
          <w:b w:val="0"/>
          <w:sz w:val="26"/>
        </w:rPr>
        <w:t>4.4. Читання формату DICOM на мобільному пристрої</w:t>
        <w:tab/>
        <w:t>___</w:t>
      </w:r>
    </w:p>
    <w:p>
      <w:pPr>
        <w:tabs>
          <w:tab w:pos="9071" w:val="right" w:leader="dot"/>
        </w:tabs>
        <w:spacing w:after="0" w:line="360" w:lineRule="auto"/>
        <w:ind w:firstLine="0" w:left="567"/>
        <w:jc w:val="left"/>
      </w:pPr>
      <w:r>
        <w:rPr>
          <w:rFonts w:ascii="Times New Roman" w:hAnsi="Times New Roman"/>
          <w:b w:val="0"/>
          <w:sz w:val="26"/>
        </w:rPr>
        <w:t>4.5. Реалізація карт активації класів на пристрої</w:t>
        <w:tab/>
        <w:t>___</w:t>
      </w:r>
    </w:p>
    <w:p>
      <w:pPr>
        <w:tabs>
          <w:tab w:pos="9071" w:val="right" w:leader="dot"/>
        </w:tabs>
        <w:spacing w:after="0" w:line="360" w:lineRule="auto"/>
        <w:ind w:firstLine="0" w:left="567"/>
        <w:jc w:val="left"/>
      </w:pPr>
      <w:r>
        <w:rPr>
          <w:rFonts w:ascii="Times New Roman" w:hAnsi="Times New Roman"/>
          <w:b w:val="0"/>
          <w:sz w:val="26"/>
        </w:rPr>
        <w:t>4.6. Зберігання історії обстежень та формування звіту</w:t>
        <w:tab/>
        <w:t>___</w:t>
      </w:r>
    </w:p>
    <w:p>
      <w:pPr>
        <w:tabs>
          <w:tab w:pos="9071" w:val="right" w:leader="dot"/>
        </w:tabs>
        <w:spacing w:after="0" w:line="360" w:lineRule="auto"/>
        <w:ind w:firstLine="0" w:left="567"/>
        <w:jc w:val="left"/>
      </w:pPr>
      <w:r>
        <w:rPr>
          <w:rFonts w:ascii="Times New Roman" w:hAnsi="Times New Roman"/>
          <w:b w:val="0"/>
          <w:sz w:val="26"/>
        </w:rPr>
        <w:t>4.7. Інтерфейс користувача та локалізація</w:t>
        <w:tab/>
        <w:t>___</w:t>
      </w:r>
    </w:p>
    <w:p>
      <w:pPr>
        <w:tabs>
          <w:tab w:pos="9071" w:val="right" w:leader="dot"/>
        </w:tabs>
        <w:spacing w:after="0" w:line="360" w:lineRule="auto"/>
        <w:ind w:firstLine="0" w:left="567"/>
        <w:jc w:val="left"/>
      </w:pPr>
      <w:r>
        <w:rPr>
          <w:rFonts w:ascii="Times New Roman" w:hAnsi="Times New Roman"/>
          <w:b w:val="0"/>
          <w:sz w:val="26"/>
        </w:rPr>
        <w:t>4.8. Тестування та перевірка на реальному пристрої</w:t>
        <w:tab/>
        <w:t>___</w:t>
      </w:r>
    </w:p>
    <w:p>
      <w:pPr>
        <w:tabs>
          <w:tab w:pos="9071" w:val="right" w:leader="dot"/>
        </w:tabs>
        <w:spacing w:after="0" w:line="360" w:lineRule="auto"/>
        <w:ind w:firstLine="0" w:left="567"/>
        <w:jc w:val="left"/>
      </w:pPr>
      <w:r>
        <w:rPr>
          <w:rFonts w:ascii="Times New Roman" w:hAnsi="Times New Roman"/>
          <w:b w:val="0"/>
          <w:sz w:val="26"/>
        </w:rPr>
        <w:t>4.9. Інструкція з використання програмного продукту</w:t>
        <w:tab/>
        <w:t>___</w:t>
      </w:r>
    </w:p>
    <w:p>
      <w:pPr>
        <w:tabs>
          <w:tab w:pos="9071" w:val="right" w:leader="dot"/>
        </w:tabs>
        <w:spacing w:after="0" w:line="360" w:lineRule="auto"/>
        <w:ind w:firstLine="0" w:left="567"/>
        <w:jc w:val="left"/>
      </w:pPr>
      <w:r>
        <w:rPr>
          <w:rFonts w:ascii="Times New Roman" w:hAnsi="Times New Roman"/>
          <w:b w:val="0"/>
          <w:sz w:val="26"/>
        </w:rPr>
        <w:t>Висновки до розділу 4</w:t>
        <w:tab/>
        <w:t>___</w:t>
      </w:r>
    </w:p>
    <w:p>
      <w:pPr>
        <w:tabs>
          <w:tab w:pos="9638" w:val="right" w:leader="dot"/>
        </w:tabs>
        <w:spacing w:after="0" w:line="360" w:lineRule="auto"/>
        <w:ind w:firstLine="0" w:left="0"/>
        <w:jc w:val="left"/>
      </w:pPr>
      <w:r>
        <w:rPr>
          <w:rFonts w:ascii="Times New Roman" w:hAnsi="Times New Roman"/>
          <w:b/>
          <w:sz w:val="26"/>
        </w:rPr>
        <w:t>ВИСНОВКИ</w:t>
        <w:tab/>
        <w:t>___</w:t>
      </w:r>
    </w:p>
    <w:p>
      <w:pPr>
        <w:tabs>
          <w:tab w:pos="9638" w:val="right" w:leader="dot"/>
        </w:tabs>
        <w:spacing w:after="0" w:line="360" w:lineRule="auto"/>
        <w:ind w:firstLine="0" w:left="0"/>
        <w:jc w:val="left"/>
      </w:pPr>
      <w:r>
        <w:rPr>
          <w:rFonts w:ascii="Times New Roman" w:hAnsi="Times New Roman"/>
          <w:b/>
          <w:sz w:val="26"/>
        </w:rPr>
        <w:t>СПИСОК ВИКОРИСТАНИХ ДЖЕРЕЛ</w:t>
        <w:tab/>
        <w:t>___</w:t>
      </w:r>
    </w:p>
    <w:p>
      <w:pPr>
        <w:tabs>
          <w:tab w:pos="9638" w:val="right" w:leader="dot"/>
        </w:tabs>
        <w:spacing w:after="0" w:line="360" w:lineRule="auto"/>
        <w:ind w:firstLine="0" w:left="0"/>
        <w:jc w:val="left"/>
      </w:pPr>
      <w:r>
        <w:rPr>
          <w:rFonts w:ascii="Times New Roman" w:hAnsi="Times New Roman"/>
          <w:b/>
          <w:sz w:val="26"/>
        </w:rPr>
        <w:t>ДОДАТОК А. Тексти програм</w:t>
        <w:tab/>
        <w:t>___</w:t>
      </w:r>
    </w:p>
    <w:p>
      <w:pPr>
        <w:tabs>
          <w:tab w:pos="9638" w:val="right" w:leader="dot"/>
        </w:tabs>
        <w:spacing w:after="0" w:line="360" w:lineRule="auto"/>
        <w:ind w:firstLine="0" w:left="0"/>
        <w:jc w:val="left"/>
      </w:pPr>
      <w:r>
        <w:rPr>
          <w:rFonts w:ascii="Times New Roman" w:hAnsi="Times New Roman"/>
          <w:b/>
          <w:sz w:val="26"/>
        </w:rPr>
        <w:t>ДОДАТОК Б. Перелік файлів на диску</w:t>
        <w:tab/>
        <w:t>___</w:t>
      </w:r>
    </w:p>
    <w:p>
      <w:pPr>
        <w:spacing w:after="120"/>
        <w:ind w:firstLine="0"/>
        <w:jc w:val="both"/>
      </w:pPr>
      <w:r>
        <w:rPr>
          <w:rFonts w:ascii="Times New Roman" w:hAnsi="Times New Roman"/>
          <w:b w:val="0"/>
          <w:i w:val="0"/>
        </w:rPr>
      </w:r>
    </w:p>
    <w:p>
      <w:pPr>
        <w:spacing w:after="0" w:line="240" w:lineRule="auto"/>
        <w:ind w:firstLine="0"/>
        <w:jc w:val="both"/>
      </w:pPr>
      <w:r>
        <w:rPr>
          <w:rFonts w:ascii="Times New Roman" w:hAnsi="Times New Roman"/>
          <w:b w:val="0"/>
          <w:i/>
          <w:sz w:val="22"/>
        </w:rPr>
        <w:t>Номери сторінок проставляються після остаточного компонування пояснювальної записки.</w:t>
      </w:r>
    </w:p>
    <w:p>
      <w:r>
        <w:br w:type="page"/>
      </w:r>
    </w:p>
    <w:p>
      <w:pPr>
        <w:spacing w:after="240"/>
        <w:ind w:firstLine="0"/>
        <w:jc w:val="center"/>
      </w:pPr>
      <w:r>
        <w:rPr>
          <w:rFonts w:ascii="Times New Roman" w:hAnsi="Times New Roman"/>
          <w:b/>
          <w:i w:val="0"/>
          <w:sz w:val="30"/>
        </w:rPr>
        <w:t>ВСТУП</w:t>
      </w:r>
    </w:p>
    <w:p>
      <w:pPr>
        <w:spacing w:after="0"/>
        <w:ind w:firstLine="850"/>
        <w:jc w:val="both"/>
      </w:pPr>
      <w:r>
        <w:rPr>
          <w:rFonts w:ascii="Times New Roman" w:hAnsi="Times New Roman"/>
          <w:b w:val="0"/>
          <w:i w:val="0"/>
        </w:rPr>
        <w:t>Актуальність теми. Пневмонія залишається однією з провідних причин звернення по медичну допомогу та смертності у світі: інфекції нижніх дихальних шляхів щорічно спричиняють понад два з половиною мільйони смертей, а серед дітей віком до п'яти років пневмонія є основною інфекційною причиною смерті. Рентгенографія органів грудної клітки є обов'язковим елементом підтвердження діагнозу, однак доступність кваліфікованої інтерпретації знімка суттєво обмежена: кількість рентгенологів зростає значно повільніше, ніж обсяг досліджень, а в закладах первинної ланки, у сільській місцевості та в польових умовах профільного фахівця часто немає взагалі. Додатковим чинником є обмежена відтворюваність висновку людини — міжекспертна узгодженість інтерпретації рентгенограм при підозрі на пневмонію перебуває лише на помірному рівні.</w:t>
      </w:r>
    </w:p>
    <w:p>
      <w:pPr>
        <w:spacing w:after="0"/>
        <w:ind w:firstLine="850"/>
        <w:jc w:val="both"/>
      </w:pPr>
      <w:r>
        <w:rPr>
          <w:rFonts w:ascii="Times New Roman" w:hAnsi="Times New Roman"/>
          <w:b w:val="0"/>
          <w:i w:val="0"/>
        </w:rPr>
        <w:t>Сучасні методи глибинного навчання дають змогу автоматизувати первинний аналіз рентгенограм, проте переважна більшість опублікованих рішень спирається на великі попередньо навчені архітектури загального призначення. Такі моделі розраховані на тривимірний кольоровий вхід, містять десятки мільйонів параметрів, надлишкових для бінарної задачі, потребують хмарних обчислень і не надають користувачеві пояснення свого рішення. Водночас передавання медичних зображень за межі закладу є окремою проблемою з погляду захисту даних, а залежність від каналу зв'язку знецінює систему саме в тих умовах, де вона найбільш потрібна. Тому актуальною є задача розроблення компактної власної архітектури, здатної працювати локально на мобільному пристрої та пояснювати свій висновок візуально.</w:t>
      </w:r>
    </w:p>
    <w:p>
      <w:pPr>
        <w:spacing w:after="0"/>
        <w:ind w:firstLine="850"/>
        <w:jc w:val="both"/>
      </w:pPr>
      <w:r>
        <w:rPr>
          <w:rFonts w:ascii="Times New Roman" w:hAnsi="Times New Roman"/>
          <w:b w:val="0"/>
          <w:i w:val="0"/>
        </w:rPr>
        <w:t>Мета роботи — підвищення доступності первинного аналізу рентгенограм органів грудної клітки шляхом розроблення власної компактної згорткової архітектури для виявлення легеневого затемнення та мобільного застосунку, що виконує цю модель локально, офлайн, з візуальним поясненням результату.</w:t>
      </w:r>
    </w:p>
    <w:p>
      <w:pPr>
        <w:spacing w:after="0"/>
        <w:ind w:firstLine="850"/>
        <w:jc w:val="both"/>
      </w:pPr>
      <w:r>
        <w:rPr>
          <w:rFonts w:ascii="Times New Roman" w:hAnsi="Times New Roman"/>
          <w:b w:val="0"/>
          <w:i w:val="0"/>
        </w:rPr>
        <w:t>Для досягнення поставленої мети необхідно розв'язати такі завдання:</w:t>
      </w:r>
    </w:p>
    <w:p>
      <w:pPr>
        <w:pStyle w:val="ListBullet"/>
        <w:spacing w:line="360" w:lineRule="auto" w:after="0"/>
        <w:ind w:firstLine="0" w:left="850"/>
        <w:jc w:val="both"/>
      </w:pPr>
      <w:r>
        <w:rPr>
          <w:rFonts w:ascii="Times New Roman" w:hAnsi="Times New Roman"/>
          <w:sz w:val="28"/>
        </w:rPr>
        <w:t>проаналізувати предметну область, наявні набори даних та методи автоматизованого аналізу рентгенограм органів грудної клітки;</w:t>
      </w:r>
    </w:p>
    <w:p>
      <w:pPr>
        <w:pStyle w:val="ListBullet"/>
        <w:spacing w:line="360" w:lineRule="auto" w:after="0"/>
        <w:ind w:firstLine="0" w:left="850"/>
        <w:jc w:val="both"/>
      </w:pPr>
      <w:r>
        <w:rPr>
          <w:rFonts w:ascii="Times New Roman" w:hAnsi="Times New Roman"/>
          <w:sz w:val="28"/>
        </w:rPr>
        <w:t>розробити конвеєр підготовки даних з коректним опрацюванням формату DICOM та поділом вибірки на рівні пацієнта;</w:t>
      </w:r>
    </w:p>
    <w:p>
      <w:pPr>
        <w:pStyle w:val="ListBullet"/>
        <w:spacing w:line="360" w:lineRule="auto" w:after="0"/>
        <w:ind w:firstLine="0" w:left="850"/>
        <w:jc w:val="both"/>
      </w:pPr>
      <w:r>
        <w:rPr>
          <w:rFonts w:ascii="Times New Roman" w:hAnsi="Times New Roman"/>
          <w:sz w:val="28"/>
        </w:rPr>
        <w:t>спроєктувати власну згорткову архітектуру, орієнтовану на одноканальний вхід, та обґрунтувати її структурні рішення;</w:t>
      </w:r>
    </w:p>
    <w:p>
      <w:pPr>
        <w:pStyle w:val="ListBullet"/>
        <w:spacing w:line="360" w:lineRule="auto" w:after="0"/>
        <w:ind w:firstLine="0" w:left="850"/>
        <w:jc w:val="both"/>
      </w:pPr>
      <w:r>
        <w:rPr>
          <w:rFonts w:ascii="Times New Roman" w:hAnsi="Times New Roman"/>
          <w:sz w:val="28"/>
        </w:rPr>
        <w:t>навчити модель з нуля, дослідити вплив дисбалансу класів і виконати відбір робочого порога за валідаційною вибіркою;</w:t>
      </w:r>
    </w:p>
    <w:p>
      <w:pPr>
        <w:pStyle w:val="ListBullet"/>
        <w:spacing w:line="360" w:lineRule="auto" w:after="0"/>
        <w:ind w:firstLine="0" w:left="850"/>
        <w:jc w:val="both"/>
      </w:pPr>
      <w:r>
        <w:rPr>
          <w:rFonts w:ascii="Times New Roman" w:hAnsi="Times New Roman"/>
          <w:sz w:val="28"/>
        </w:rPr>
        <w:t>оцінити якість моделі на незалежній тестовій вибірці та проаналізувати структуру її помилок;</w:t>
      </w:r>
    </w:p>
    <w:p>
      <w:pPr>
        <w:pStyle w:val="ListBullet"/>
        <w:spacing w:line="360" w:lineRule="auto" w:after="0"/>
        <w:ind w:firstLine="0" w:left="850"/>
        <w:jc w:val="both"/>
      </w:pPr>
      <w:r>
        <w:rPr>
          <w:rFonts w:ascii="Times New Roman" w:hAnsi="Times New Roman"/>
          <w:sz w:val="28"/>
        </w:rPr>
        <w:t>реалізувати метод візуальної інтерпретації результату на основі карт активації класів;</w:t>
      </w:r>
    </w:p>
    <w:p>
      <w:pPr>
        <w:pStyle w:val="ListBullet"/>
        <w:spacing w:line="360" w:lineRule="auto" w:after="0"/>
        <w:ind w:firstLine="0" w:left="850"/>
        <w:jc w:val="both"/>
      </w:pPr>
      <w:r>
        <w:rPr>
          <w:rFonts w:ascii="Times New Roman" w:hAnsi="Times New Roman"/>
          <w:sz w:val="28"/>
        </w:rPr>
        <w:t>експортувати модель у проміжний формат, розробити мобільний застосунок, що виконує її локально та читає вихідний формат DICOM, і кількісно підтвердити відтворюваність прогнозу на обох шляхах надходження зображення.</w:t>
      </w:r>
    </w:p>
    <w:p>
      <w:pPr>
        <w:spacing w:after="0"/>
        <w:ind w:firstLine="850"/>
        <w:jc w:val="both"/>
      </w:pPr>
      <w:r>
        <w:rPr>
          <w:rFonts w:ascii="Times New Roman" w:hAnsi="Times New Roman"/>
          <w:b w:val="0"/>
          <w:i w:val="0"/>
        </w:rPr>
        <w:t>Об'єкт дослідження — процес автоматизованого виявлення ознак легеневого затемнення на цифрових рентгенограмах органів грудної клітки.</w:t>
      </w:r>
    </w:p>
    <w:p>
      <w:pPr>
        <w:spacing w:after="0"/>
        <w:ind w:firstLine="850"/>
        <w:jc w:val="both"/>
      </w:pPr>
      <w:r>
        <w:rPr>
          <w:rFonts w:ascii="Times New Roman" w:hAnsi="Times New Roman"/>
          <w:b w:val="0"/>
          <w:i w:val="0"/>
        </w:rPr>
        <w:t>Предмет дослідження — моделі, методи та програмні засоби бінарної класифікації рентгенограм на основі власної згорткової нейронної мережі, навченої з нуля, методи візуальної інтерпретації її рішень та їх перенесення у середовище мобільного пристрою.</w:t>
      </w:r>
    </w:p>
    <w:p>
      <w:pPr>
        <w:spacing w:after="0"/>
        <w:ind w:firstLine="850"/>
        <w:jc w:val="both"/>
      </w:pPr>
      <w:r>
        <w:rPr>
          <w:rFonts w:ascii="Times New Roman" w:hAnsi="Times New Roman"/>
          <w:b w:val="0"/>
          <w:i w:val="0"/>
        </w:rPr>
        <w:t>Методи дослідження. Для розв'язання поставлених задач використано методи системного аналізу предметної області, цифрової обробки зображень, машинного та глибинного навчання (згорткові нейронні мережі, стохастична оптимізація, регуляризація, аугментація даних), методи математичної статистики та теорії перевірки діагностичних тестів (ROC- і PR-аналіз, статистика Юдена), методи візуальної інтерпретації моделей глибинного навчання, а також методи інженерії програмного забезпечення та модульного тестування.</w:t>
      </w:r>
    </w:p>
    <w:p>
      <w:pPr>
        <w:spacing w:after="0"/>
        <w:ind w:firstLine="850"/>
        <w:jc w:val="both"/>
      </w:pPr>
      <w:r>
        <w:rPr>
          <w:rFonts w:ascii="Times New Roman" w:hAnsi="Times New Roman"/>
          <w:b w:val="0"/>
          <w:i w:val="0"/>
        </w:rPr>
        <w:t>Наукова новизна отриманих результатів полягає в тому, що розроблено власну компактну згорткову архітектуру PulmoNet-7M (7 065 953 параметри), яка, на відміну від відомих рішень, побудована безпосередньо під одноканальне рентгенівське зображення без штучного дублювання в три канали, навчається з нуля без використання попередньо навчених ваг і містить шар глобального усереднення, завдяки чому візуальне пояснення рішення методом карт активації класів обчислюється за один прямий прохід і залишається придатним для виконання на мобільному пристрої. Уперше для такої архітектури кількісно підтверджено чисельну відтворюваність прогнозу під час перенесення моделі із середовища навчання у мобільне середовище: розбіжність прогнозованої ймовірності не перевищує 7,9·10⁻⁷.</w:t>
      </w:r>
    </w:p>
    <w:p>
      <w:pPr>
        <w:spacing w:after="0"/>
        <w:ind w:firstLine="850"/>
        <w:jc w:val="both"/>
      </w:pPr>
      <w:r>
        <w:rPr>
          <w:rFonts w:ascii="Times New Roman" w:hAnsi="Times New Roman"/>
          <w:b w:val="0"/>
          <w:i w:val="0"/>
        </w:rPr>
        <w:t>Практична цінність результатів полягає в розробленні працездатного мобільного застосунку, який читає вихідний файл дослідження у форматі DICOM, виконує аналіз повністю локально, без передавання медичних даних у мережу, і видає ймовірність наявності легеневого затемнення разом із тепловою картою за 214 мс на серійному смартфоні. Це дає змогу застосовувати систему в умовах відсутності зв'язку та кваліфікованого рентгенолога — у закладах первинної ланки, у сільській місцевості та в польових умовах. Розроблений конвеєр підготовки даних і методика перевірки паритету попередньої обробки можуть бути повторно використані в суміжних задачах аналізу медичних зображень.</w:t>
      </w:r>
    </w:p>
    <w:p>
      <w:pPr>
        <w:spacing w:after="0"/>
        <w:ind w:firstLine="850"/>
        <w:jc w:val="both"/>
      </w:pPr>
      <w:r>
        <w:rPr>
          <w:rFonts w:ascii="Times New Roman" w:hAnsi="Times New Roman"/>
          <w:b w:val="0"/>
          <w:i w:val="0"/>
        </w:rPr>
        <w:t>Апробація результатів. ____________________________________________ (назви статей, тез доповідей, конференцій — заповнюється за наявності).</w:t>
      </w:r>
    </w:p>
    <w:p>
      <w:pPr>
        <w:spacing w:after="0"/>
        <w:ind w:firstLine="850"/>
        <w:jc w:val="both"/>
      </w:pPr>
      <w:r>
        <w:rPr>
          <w:rFonts w:ascii="Times New Roman" w:hAnsi="Times New Roman"/>
          <w:b w:val="0"/>
          <w:i w:val="0"/>
        </w:rPr>
        <w:t>Структура та обсяг роботи. Пояснювальна записка складається зі вступу, чотирьох розділів, висновків, списку використаних джерел та двох додатків.</w:t>
      </w:r>
    </w:p>
    <w:p>
      <w:pPr>
        <w:spacing w:after="0"/>
        <w:ind w:firstLine="850"/>
        <w:jc w:val="both"/>
      </w:pPr>
      <w:r>
        <w:rPr>
          <w:rFonts w:ascii="Times New Roman" w:hAnsi="Times New Roman"/>
          <w:b w:val="0"/>
          <w:i w:val="0"/>
        </w:rPr>
        <w:t>У першому розділі виконано аналіз предметної області: розглянуто медико-соціальне значення задачі, особливості рентгенівського зображення та формату DICOM, структуру систем комп'ютерної підтримки діагностики, класичні та нейромережеві методи аналізу медичних зображень, методи інтерпретації рішень моделей, наявні набори даних і метрики оцінювання, а також особливості виконання моделей на мобільних пристроях; сформульовано постановку задачі.</w:t>
      </w:r>
    </w:p>
    <w:p>
      <w:pPr>
        <w:spacing w:after="0"/>
        <w:ind w:firstLine="850"/>
        <w:jc w:val="both"/>
      </w:pPr>
      <w:r>
        <w:rPr>
          <w:rFonts w:ascii="Times New Roman" w:hAnsi="Times New Roman"/>
          <w:b w:val="0"/>
          <w:i w:val="0"/>
        </w:rPr>
        <w:t>У другому розділі описано методику дослідження: характеристику обраного набору даних, аналіз анотацій та формування цільової мітки, опрацювання формату DICOM, схему попередньої обробки та аугментації, поділ вибірки на рівні пацієнта й обґрунтування функції втрат та системи метрик.</w:t>
      </w:r>
    </w:p>
    <w:p>
      <w:pPr>
        <w:spacing w:after="0"/>
        <w:ind w:firstLine="850"/>
        <w:jc w:val="both"/>
      </w:pPr>
      <w:r>
        <w:rPr>
          <w:rFonts w:ascii="Times New Roman" w:hAnsi="Times New Roman"/>
          <w:b w:val="0"/>
          <w:i w:val="0"/>
        </w:rPr>
        <w:t>У третьому розділі наведено розроблення архітектури PulmoNet-7M, методику та результати її навчання, оцінювання на незалежній тестовій вибірці, аналіз структури помилок, дослідження порога бінаризації та реалізацію візуальної інтерпретації методом карт активації класів.</w:t>
      </w:r>
    </w:p>
    <w:p>
      <w:pPr>
        <w:spacing w:after="0"/>
        <w:ind w:firstLine="850"/>
        <w:jc w:val="both"/>
      </w:pPr>
      <w:r>
        <w:rPr>
          <w:rFonts w:ascii="Times New Roman" w:hAnsi="Times New Roman"/>
          <w:b w:val="0"/>
          <w:i w:val="0"/>
        </w:rPr>
        <w:t>У четвертому розділі описано програмну реалізацію мобільного застосунку: архітектуру програмного забезпечення, експорт моделі у формат ONNX та перевірку її еквівалентності, забезпечення паритету попередньої обробки, реалізацію карт активації на пристрої, інтерфейс користувача, результати тестування та інструкцію з використання.</w:t>
      </w:r>
    </w:p>
    <w:p>
      <w:pPr>
        <w:spacing w:after="0"/>
        <w:ind w:firstLine="850"/>
        <w:jc w:val="both"/>
      </w:pPr>
      <w:r>
        <w:rPr>
          <w:rFonts w:ascii="Times New Roman" w:hAnsi="Times New Roman"/>
          <w:b w:val="0"/>
          <w:i w:val="0"/>
        </w:rPr>
        <w:t>Загальний обсяг пояснювальної записки становить ____ сторінок, з них основна частина — ____ сторінок; робота містить ____ рисунків, ____ таблиць та ____ джерел.</w:t>
      </w:r>
    </w:p>
    <w:p>
      <w:r>
        <w:br w:type="page"/>
      </w:r>
    </w:p>
    <w:p>
      <w:pPr>
        <w:spacing w:after="360"/>
        <w:ind w:firstLine="0"/>
        <w:jc w:val="center"/>
      </w:pPr>
      <w:r>
        <w:rPr>
          <w:rFonts w:ascii="Times New Roman" w:hAnsi="Times New Roman"/>
          <w:b/>
          <w:i w:val="0"/>
        </w:rPr>
        <w:t>РОЗДІЛ 1</w:t>
      </w:r>
    </w:p>
    <w:p>
      <w:pPr>
        <w:spacing w:after="360"/>
        <w:ind w:firstLine="0"/>
        <w:jc w:val="center"/>
      </w:pPr>
      <w:r>
        <w:rPr>
          <w:rFonts w:ascii="Times New Roman" w:hAnsi="Times New Roman"/>
          <w:b/>
          <w:i w:val="0"/>
        </w:rPr>
        <w:t>АНАЛІЗ ПРЕДМЕТНОЇ ОБЛАСТІ ТА ПОСТАНОВКА ЗАДАЧІ</w:t>
      </w:r>
    </w:p>
    <w:p>
      <w:pPr>
        <w:spacing w:after="0"/>
        <w:ind w:firstLine="850"/>
        <w:jc w:val="both"/>
      </w:pPr>
      <w:r>
        <w:rPr>
          <w:rFonts w:ascii="Times New Roman" w:hAnsi="Times New Roman"/>
          <w:b w:val="0"/>
          <w:i w:val="0"/>
        </w:rPr>
        <w:t>У розділі наведено аналіз предметної області автоматизованого виявлення пневмонії за рентгенограмами органів грудної клітки. Розглянуто медико-соціальне значення задачі, особливості рентгенівського зображення та формату DICOM, структуру систем комп'ютерної підтримки діагностики, класичні та нейромережеві методи аналізу медичних зображень, методи інтерпретації рішень моделей, наявні набори даних і метрики оцінювання, а також особливості виконання моделей глибинного навчання на мобільних пристроях. На підставі виконаного аналізу визначено невирішені питання, обґрунтовано напрям дослідження та сформульовано постановку задачі.</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1.1. Пневмонія та рентгенографія органів грудної клітки як предметна область дослідження</w:t>
      </w:r>
    </w:p>
    <w:p>
      <w:pPr>
        <w:keepNext/>
        <w:spacing w:after="120"/>
        <w:ind w:firstLine="850"/>
        <w:jc w:val="both"/>
      </w:pPr>
      <w:r>
        <w:rPr>
          <w:rFonts w:ascii="Times New Roman" w:hAnsi="Times New Roman"/>
          <w:b w:val="0"/>
          <w:i/>
        </w:rPr>
        <w:t>1.1.1. Медико-соціальне значення задачі</w:t>
      </w:r>
    </w:p>
    <w:p>
      <w:pPr>
        <w:spacing w:after="0"/>
        <w:ind w:firstLine="850"/>
        <w:jc w:val="both"/>
      </w:pPr>
      <w:r>
        <w:rPr>
          <w:rFonts w:ascii="Times New Roman" w:hAnsi="Times New Roman"/>
          <w:b w:val="0"/>
          <w:i w:val="0"/>
        </w:rPr>
        <w:t>Пневмонія залишається однією з найпоширеніших причин звернення по медичну допомогу та однією з провідних причин смертності у світі. За даними Всесвітньої організації охорони здоров'я, інфекції нижніх дихальних шляхів щорічно спричиняють понад два з половиною мільйони смертей, причому пневмонія є основною інфекційною причиною смерті дітей віком до п'яти років [1]. Глобальні епідеміологічні дослідження підтверджують, що тягар цього захворювання розподілений украй нерівномірно: найвищі показники летальності фіксуються саме в регіонах з обмеженим доступом до кваліфікованої променевої діагностики [2]. Пандемія COVID-19 додатково загострила проблему, оскільки різко збільшила навантаження на відділення променевої діагностики та зробила швидке виявлення запальних змін у легенях масовою, а не епізодичною задачею.</w:t>
      </w:r>
    </w:p>
    <w:p>
      <w:pPr>
        <w:spacing w:after="0"/>
        <w:ind w:firstLine="850"/>
        <w:jc w:val="both"/>
      </w:pPr>
      <w:r>
        <w:rPr>
          <w:rFonts w:ascii="Times New Roman" w:hAnsi="Times New Roman"/>
          <w:b w:val="0"/>
          <w:i w:val="0"/>
        </w:rPr>
        <w:t>Ключовим чинником успішного лікування пневмонії є час. Чинні міжнародні настанови з ведення негоспітальної пневмонії розглядають рентгенографію органів грудної клітки (chest X-ray, CXR) як обов'язковий елемент підтвердження діагнозу: клінічна картина (кашель, лихоманка, задишка, аускультативні феномени) є неспецифічною і сама по собі не дає змоги достовірно відрізнити пневмонію від бронхіту, загострення хронічного обструктивного захворювання легень чи серцевої недостатності [3]. Отже, саме рентгенівський знімок є тим носієм інформації, на підставі якого ухвалюється рішення про початок антибактеріальної терапії та про необхідність госпіталізації.</w:t>
      </w:r>
    </w:p>
    <w:p>
      <w:pPr>
        <w:spacing w:after="0"/>
        <w:ind w:firstLine="850"/>
        <w:jc w:val="both"/>
      </w:pPr>
      <w:r>
        <w:rPr>
          <w:rFonts w:ascii="Times New Roman" w:hAnsi="Times New Roman"/>
          <w:b w:val="0"/>
          <w:i w:val="0"/>
        </w:rPr>
        <w:t>Водночас між потребою в інтерпретації знімків та наявними людськими ресурсами існує системний розрив. Кількість рентгенологів зростає значно повільніше, ніж обсяг досліджень; у сільській місцевості, у військово-польових умовах, у закладах первинної ланки та в умовах надзвичайних ситуацій знімок часто виконується там, де профільного фахівця немає взагалі або його висновок доступний лише через години чи доби. Саме цей розрив між моментом отримання зображення та моментом його кваліфікованої інтерпретації і формує практичну нішу для систем автоматизованого аналізу CXR, здатних працювати безпосередньо у місці надання допомоги.</w:t>
      </w:r>
    </w:p>
    <w:p>
      <w:pPr>
        <w:keepNext/>
        <w:spacing w:after="120"/>
        <w:ind w:firstLine="850"/>
        <w:jc w:val="both"/>
      </w:pPr>
      <w:r>
        <w:rPr>
          <w:rFonts w:ascii="Times New Roman" w:hAnsi="Times New Roman"/>
          <w:b w:val="0"/>
          <w:i/>
        </w:rPr>
        <w:t>1.1.2. Рентгенографія органів грудної клітки та формат DICOM</w:t>
      </w:r>
    </w:p>
    <w:p>
      <w:pPr>
        <w:spacing w:after="0"/>
        <w:ind w:firstLine="850"/>
        <w:jc w:val="both"/>
      </w:pPr>
      <w:r>
        <w:rPr>
          <w:rFonts w:ascii="Times New Roman" w:hAnsi="Times New Roman"/>
          <w:b w:val="0"/>
          <w:i w:val="0"/>
        </w:rPr>
        <w:t>Рентгенографія органів грудної клітки є двовимірною проєкцією тривимірного об'єму тіла, отриманою шляхом вимірювання ослаблення пучка рентгенівського випромінювання під час його проходження крізь тканини. Яскравість кожного пікселя визначається інтегральним коефіцієнтом ослаблення вздовж променя, тому на одному й тому самому елементі зображення накладаються ребра, м'які тканини, судини, середостіння та власне легенева паренхіма. Пневмонічна інфільтрація виявляється на знімку як ділянка зниженої прозорості легеневого поля — легенева консолідація або затемнення (lung opacity), — що може мати нечіткі межі, різний ступінь вираженості та різну локалізацію [4].</w:t>
      </w:r>
    </w:p>
    <w:p>
      <w:pPr>
        <w:spacing w:after="0"/>
        <w:ind w:firstLine="850"/>
        <w:jc w:val="both"/>
      </w:pPr>
      <w:r>
        <w:rPr>
          <w:rFonts w:ascii="Times New Roman" w:hAnsi="Times New Roman"/>
          <w:b w:val="0"/>
          <w:i w:val="0"/>
        </w:rPr>
        <w:t>Складність автоматичного аналізу CXR зумовлена кількома взаємопов'язаними чинниками. По-перше, це проєкційна природа зображення: накладання анатомічних структур робить межі патологічної ділянки принципово нечіткими, на відміну від томографічних зрізів. По-друге, це висока варіативність умов отримання знімка — проєкція (задньопередня PA або передньозадня AP), положення пацієнта, параметри експозиції, тип детектора, алгоритми постобробки виробника. По-третє, це наявність сторонніх об'єктів: катетерів, електродів, кардіостимуляторів, технічних маркерів, написів. По-четверте, це низький міжкласовий контраст: затемнення при пневмонії, набряку легень, ателектазі, плевральному випоті чи новоутворенні може виглядати візуально подібно, і розрізнення між ними спирається на клінічний контекст, недоступний з самого зображення.</w:t>
      </w:r>
    </w:p>
    <w:p>
      <w:pPr>
        <w:spacing w:after="0"/>
        <w:ind w:firstLine="850"/>
        <w:jc w:val="both"/>
      </w:pPr>
      <w:r>
        <w:rPr>
          <w:rFonts w:ascii="Times New Roman" w:hAnsi="Times New Roman"/>
          <w:b w:val="0"/>
          <w:i w:val="0"/>
        </w:rPr>
        <w:t>Медичні зображення зберігаються та передаються у форматі DICOM (Digital Imaging and Communications in Medicine) — стандарті, що поєднує в одному файлі растрові дані та структуровані метадані про пацієнта, дослідження, обладнання та параметри знімання [5]. Для задач машинного навчання принципове значення мають такі елементи DICOM-файлу, як розрядність пікселів (зазвичай 12–16 біт на піксель, на відміну від 8 біт у побутових форматах), інтерпретація фотометрії (MONOCHROME1 або MONOCHROME2, що визначає, чи є нульове значення чорним, чи білим), а також параметри вікна візуалізації. Ігнорування цих полів під час підготовки даних призводить до інверсії або викривлення яскравості частини вибірки і, як наслідок, до систематичного зниження якості моделі. Таким чином, коректне опрацювання DICOM є не технічною дрібницею, а складовою частиною методики дослідження.</w:t>
      </w:r>
    </w:p>
    <w:p>
      <w:pPr>
        <w:keepNext/>
        <w:spacing w:after="120"/>
        <w:ind w:firstLine="850"/>
        <w:jc w:val="both"/>
      </w:pPr>
      <w:r>
        <w:rPr>
          <w:rFonts w:ascii="Times New Roman" w:hAnsi="Times New Roman"/>
          <w:b w:val="0"/>
          <w:i/>
        </w:rPr>
        <w:t>1.1.3. Варіабельність інтерпретації знімків людиною</w:t>
      </w:r>
    </w:p>
    <w:p>
      <w:pPr>
        <w:spacing w:after="0"/>
        <w:ind w:firstLine="850"/>
        <w:jc w:val="both"/>
      </w:pPr>
      <w:r>
        <w:rPr>
          <w:rFonts w:ascii="Times New Roman" w:hAnsi="Times New Roman"/>
          <w:b w:val="0"/>
          <w:i w:val="0"/>
        </w:rPr>
        <w:t>Окремою підставою для автоматизації є обмежена відтворюваність висновку лікаря. Дослідження узгодженості інтерпретації CXR при підозрі на пневмонію стабільно показують лише помірний рівень міжекспертної згоди: значення коефіцієнта каппа Коена між незалежними рентгенологами для ознаки наявності інфільтрату перебуває приблизно в діапазоні 0,4–0,7 залежно від популяції та протоколу дослідження [6, 7]. Це означає, що навіть еталонна розмітка, на якій навчаються моделі, сама по собі містить невизначеність, а частина розбіжностей між прогнозом моделі та міткою є не помилкою моделі, а відображенням природної неоднозначності задачі.</w:t>
      </w:r>
    </w:p>
    <w:p>
      <w:pPr>
        <w:spacing w:after="0"/>
        <w:ind w:firstLine="850"/>
        <w:jc w:val="both"/>
      </w:pPr>
      <w:r>
        <w:rPr>
          <w:rFonts w:ascii="Times New Roman" w:hAnsi="Times New Roman"/>
          <w:b w:val="0"/>
          <w:i w:val="0"/>
        </w:rPr>
        <w:t>З цього випливають два методологічні наслідки, важливі для цієї роботи. По-перше, система автоматизованого аналізу має позиціонуватися не як замінник лікаря, а як інструмент підтримки прийняття рішень, що надає другу думку та сортує потік досліджень за пріоритетністю. По-друге, оцінювання якості такої системи не може спиратися на одну інтегральну метрику: потрібно окремо контролювати чутливість (ціна пропущеної пневмонії висока) та специфічність (ціна надмірної кількості хибних тривог — недовіра користувача та зайві дослідження). Огляд систем комп'ютерної діагностики за рентгенограмами грудної клітки [8] показує, що саме компроміс між цими двома характеристиками, а не абсолютна точність, визначає практичну придатність рішення.</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1.2. Системи комп'ютерної підтримки діагностики та класичні методи аналізу медичних зображень</w:t>
      </w:r>
    </w:p>
    <w:p>
      <w:pPr>
        <w:keepNext/>
        <w:spacing w:after="120"/>
        <w:ind w:firstLine="850"/>
        <w:jc w:val="both"/>
      </w:pPr>
      <w:r>
        <w:rPr>
          <w:rFonts w:ascii="Times New Roman" w:hAnsi="Times New Roman"/>
          <w:b w:val="0"/>
          <w:i/>
        </w:rPr>
        <w:t>1.2.1. Узагальнена структура CAD-системи</w:t>
      </w:r>
    </w:p>
    <w:p>
      <w:pPr>
        <w:spacing w:after="0"/>
        <w:ind w:firstLine="850"/>
        <w:jc w:val="both"/>
      </w:pPr>
      <w:r>
        <w:rPr>
          <w:rFonts w:ascii="Times New Roman" w:hAnsi="Times New Roman"/>
          <w:b w:val="0"/>
          <w:i w:val="0"/>
        </w:rPr>
        <w:t>Системи комп'ютерної підтримки діагностики (Computer-Aided Diagnosis, CAD) розвиваються з 1980-х років і пройшли шлях від допоміжних засобів вимірювання до самостійних аналітичних модулів [9]. Незалежно від конкретної реалізації, узагальнений конвеєр CAD-системи для медичних зображень зберігає сталу структуру, наведену на рис. 1.1.</w:t>
      </w:r>
    </w:p>
    <w:p>
      <w:pPr>
        <w:keepNext/>
        <w:spacing w:before="120"/>
        <w:ind w:firstLine="0"/>
        <w:jc w:val="center"/>
      </w:pPr>
      <w:r>
        <w:drawing>
          <wp:inline xmlns:a="http://schemas.openxmlformats.org/drawingml/2006/main" xmlns:pic="http://schemas.openxmlformats.org/drawingml/2006/picture">
            <wp:extent cx="5580000" cy="1710941"/>
            <wp:docPr id="1" name="Picture 1"/>
            <wp:cNvGraphicFramePr>
              <a:graphicFrameLocks noChangeAspect="1"/>
            </wp:cNvGraphicFramePr>
            <a:graphic>
              <a:graphicData uri="http://schemas.openxmlformats.org/drawingml/2006/picture">
                <pic:pic>
                  <pic:nvPicPr>
                    <pic:cNvPr id="0" name="fig_1_1_cad.png"/>
                    <pic:cNvPicPr/>
                  </pic:nvPicPr>
                  <pic:blipFill>
                    <a:blip r:embed="rId10"/>
                    <a:stretch>
                      <a:fillRect/>
                    </a:stretch>
                  </pic:blipFill>
                  <pic:spPr>
                    <a:xfrm>
                      <a:off x="0" y="0"/>
                      <a:ext cx="5580000" cy="1710941"/>
                    </a:xfrm>
                    <a:prstGeom prst="rect"/>
                  </pic:spPr>
                </pic:pic>
              </a:graphicData>
            </a:graphic>
          </wp:inline>
        </w:drawing>
      </w:r>
    </w:p>
    <w:p>
      <w:pPr>
        <w:spacing w:after="200" w:line="240" w:lineRule="auto"/>
        <w:ind w:firstLine="0"/>
        <w:jc w:val="center"/>
      </w:pPr>
      <w:r>
        <w:rPr>
          <w:rFonts w:ascii="Times New Roman" w:hAnsi="Times New Roman"/>
          <w:b w:val="0"/>
          <w:i w:val="0"/>
          <w:sz w:val="26"/>
        </w:rPr>
        <w:t>Рис. 1.1. Узагальнена структура системи комп'ютерної підтримки діагностики</w:t>
      </w:r>
    </w:p>
    <w:p>
      <w:pPr>
        <w:spacing w:after="0"/>
        <w:ind w:firstLine="850"/>
        <w:jc w:val="both"/>
      </w:pPr>
      <w:r>
        <w:rPr>
          <w:rFonts w:ascii="Times New Roman" w:hAnsi="Times New Roman"/>
          <w:b w:val="0"/>
          <w:i w:val="0"/>
        </w:rPr>
        <w:t>Принциповим для подальшого викладу є те, що історична еволюція CAD-систем полягала передусім у зміні реалізації двох центральних ланок — виділення ознак та класифікації. У класичній парадигмі ознаки конструювалися вручну експертом, а класифікатор навчався вже на готовому ознаковому описі; у парадигмі глибинного навчання обидві ланки об'єднано в єдину модель, що навчається безпосередньо з пікселів. Ланки отримання зображення, попередньої обробки та інтерпретації при цьому не зникають, а навпаки — набувають додаткового значення, оскільки саме вони визначають відтворюваність результату.</w:t>
      </w:r>
    </w:p>
    <w:p>
      <w:pPr>
        <w:keepNext/>
        <w:spacing w:after="120"/>
        <w:ind w:firstLine="850"/>
        <w:jc w:val="both"/>
      </w:pPr>
      <w:r>
        <w:rPr>
          <w:rFonts w:ascii="Times New Roman" w:hAnsi="Times New Roman"/>
          <w:b w:val="0"/>
          <w:i/>
        </w:rPr>
        <w:t>1.2.2. Класичні методи обробки зображень та ознакові підходи</w:t>
      </w:r>
    </w:p>
    <w:p>
      <w:pPr>
        <w:spacing w:after="0"/>
        <w:ind w:firstLine="850"/>
        <w:jc w:val="both"/>
      </w:pPr>
      <w:r>
        <w:rPr>
          <w:rFonts w:ascii="Times New Roman" w:hAnsi="Times New Roman"/>
          <w:b w:val="0"/>
          <w:i w:val="0"/>
        </w:rPr>
        <w:t>Класичні методи аналізу рентгенівських зображень спираються на апарат цифрової обробки зображень [10] і зазвичай поєднують кілька послідовних етапів: покращення контрасту, сегментацію легеневих полів, виділення числових ознак та класифікацію.</w:t>
      </w:r>
    </w:p>
    <w:p>
      <w:pPr>
        <w:spacing w:after="0"/>
        <w:ind w:firstLine="850"/>
        <w:jc w:val="both"/>
      </w:pPr>
      <w:r>
        <w:rPr>
          <w:rFonts w:ascii="Times New Roman" w:hAnsi="Times New Roman"/>
          <w:b w:val="0"/>
          <w:i w:val="0"/>
        </w:rPr>
        <w:t>Порогові методи є найпростішим засобом сегментації: кожен піксель відноситься до об'єкта або до фону за результатом порівняння його інтенсивності з порогом. Метод Оцу [11] дозволяє обирати поріг автоматично, максимізуючи міжкласову дисперсію гістограми яскравостей. На CXR-зображеннях такі методи дають прийнятний результат лише за умови високого контрасту між легеневим полем і середостінням і виявляються нестійкими за наявності інфільтрації, яка за визначенням змінює саме розподіл яскравості легеневого поля.</w:t>
      </w:r>
    </w:p>
    <w:p>
      <w:pPr>
        <w:spacing w:after="0"/>
        <w:ind w:firstLine="850"/>
        <w:jc w:val="both"/>
      </w:pPr>
      <w:r>
        <w:rPr>
          <w:rFonts w:ascii="Times New Roman" w:hAnsi="Times New Roman"/>
          <w:b w:val="0"/>
          <w:i w:val="0"/>
        </w:rPr>
        <w:t>Текстурні ознаки є більш інформативним інструментом опису патологічних змін. Матриця суміжності рівнів яскравості (Gray-Level Co-occurrence Matrix) та обчислені на її основі ознаки Харалика — контраст, кореляція, енергія, однорідність, ентропія — дають кількісний опис просторової структури зображення [12]. Локальні бінарні шаблони (Local Binary Patterns) описують локальний рельєф яскравості та є інваріантними до монотонних змін освітлення [13], а гістограми орієнтованих градієнтів (Histogram of Oriented Gradients) фіксують розподіл напрямків градієнта в локальних комірках [14]. Отриманий вектор ознак подається на вхід класифікатора — найчастіше методу опорних векторів [15], логістичної регресії або випадкового лісу.</w:t>
      </w:r>
    </w:p>
    <w:p>
      <w:pPr>
        <w:keepNext/>
        <w:spacing w:after="120"/>
        <w:ind w:firstLine="850"/>
        <w:jc w:val="both"/>
      </w:pPr>
      <w:r>
        <w:rPr>
          <w:rFonts w:ascii="Times New Roman" w:hAnsi="Times New Roman"/>
          <w:b w:val="0"/>
          <w:i/>
        </w:rPr>
        <w:t>1.2.3. Обмеження класичних підходів</w:t>
      </w:r>
    </w:p>
    <w:p>
      <w:pPr>
        <w:spacing w:after="0"/>
        <w:ind w:firstLine="850"/>
        <w:jc w:val="both"/>
      </w:pPr>
      <w:r>
        <w:rPr>
          <w:rFonts w:ascii="Times New Roman" w:hAnsi="Times New Roman"/>
          <w:b w:val="0"/>
          <w:i w:val="0"/>
        </w:rPr>
        <w:t>Попри інтерпретованість та невисоку обчислювальну складність, класичні підходи мають принципове обмеження, яке й зумовило перехід до глибинного навчання. Ознаки Харалика, LBP та HOG є заданими апріорі, тобто дослідник фіксує спосіб опису зображення ще до того, як побачив дані. Для пневмонії, яка не має стабільної форми, розміру, локалізації та чіткої межі, підібрати універсальний набір ознак вручну практично неможливо: ознаки, налаштовані на часткову консолідацію нижньої частки, погано описують дифузні інтерстиціальні зміни. Крім того, класичні конвеєри критично залежать від якості попередньої сегментації легеневих полів, яка сама по собі є нетривіальною задачею [16]. Порівняння двох парадигм наведено у табл. 1.1.</w:t>
      </w:r>
    </w:p>
    <w:p>
      <w:pPr>
        <w:keepNext/>
        <w:spacing w:after="0" w:line="240" w:lineRule="auto"/>
        <w:ind w:firstLine="0"/>
        <w:jc w:val="right"/>
      </w:pPr>
      <w:r>
        <w:rPr>
          <w:rFonts w:ascii="Times New Roman" w:hAnsi="Times New Roman"/>
          <w:b w:val="0"/>
          <w:i w:val="0"/>
          <w:sz w:val="26"/>
        </w:rPr>
        <w:t>Таблиця 1.1</w:t>
      </w:r>
    </w:p>
    <w:p>
      <w:pPr>
        <w:keepNext/>
        <w:spacing w:after="80" w:line="240" w:lineRule="auto"/>
        <w:ind w:firstLine="0"/>
        <w:jc w:val="center"/>
      </w:pPr>
      <w:r>
        <w:rPr>
          <w:rFonts w:ascii="Times New Roman" w:hAnsi="Times New Roman"/>
          <w:b/>
          <w:i w:val="0"/>
          <w:sz w:val="26"/>
        </w:rPr>
        <w:t>Порівняння класичної та нейромережевої парадигм аналізу медичних зображень</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2608"/>
          </w:tcPr>
          <w:p>
            <w:pPr>
              <w:keepNext/>
              <w:spacing w:line="240" w:lineRule="auto" w:after="0"/>
              <w:ind w:firstLine="0"/>
              <w:jc w:val="center"/>
            </w:pPr>
            <w:r/>
            <w:r>
              <w:rPr>
                <w:rFonts w:ascii="Times New Roman" w:hAnsi="Times New Roman"/>
                <w:b/>
                <w:sz w:val="22"/>
              </w:rPr>
              <w:t>Критерій</w:t>
            </w:r>
          </w:p>
        </w:tc>
        <w:tc>
          <w:tcPr>
            <w:tcW w:type="dxa" w:w="3515"/>
          </w:tcPr>
          <w:p>
            <w:pPr>
              <w:keepNext/>
              <w:spacing w:line="240" w:lineRule="auto" w:after="0"/>
              <w:ind w:firstLine="0"/>
              <w:jc w:val="center"/>
            </w:pPr>
            <w:r/>
            <w:r>
              <w:rPr>
                <w:rFonts w:ascii="Times New Roman" w:hAnsi="Times New Roman"/>
                <w:b/>
                <w:sz w:val="22"/>
              </w:rPr>
              <w:t>Класичний підхід (ознаки + класифікатор)</w:t>
            </w:r>
          </w:p>
        </w:tc>
        <w:tc>
          <w:tcPr>
            <w:tcW w:type="dxa" w:w="3515"/>
          </w:tcPr>
          <w:p>
            <w:pPr>
              <w:keepNext/>
              <w:spacing w:line="240" w:lineRule="auto" w:after="0"/>
              <w:ind w:firstLine="0"/>
              <w:jc w:val="center"/>
            </w:pPr>
            <w:r/>
            <w:r>
              <w:rPr>
                <w:rFonts w:ascii="Times New Roman" w:hAnsi="Times New Roman"/>
                <w:b/>
                <w:sz w:val="22"/>
              </w:rPr>
              <w:t>Глибинне навчання (CNN)</w:t>
            </w:r>
          </w:p>
        </w:tc>
      </w:tr>
      <w:tr>
        <w:trPr>
          <w:cantSplit/>
        </w:trPr>
        <w:tc>
          <w:tcPr>
            <w:tcW w:type="dxa" w:w="2608"/>
          </w:tcPr>
          <w:p>
            <w:pPr>
              <w:keepNext/>
              <w:spacing w:line="240" w:lineRule="auto" w:after="0"/>
              <w:ind w:firstLine="0"/>
            </w:pPr>
            <w:r/>
            <w:r>
              <w:rPr>
                <w:rFonts w:ascii="Times New Roman" w:hAnsi="Times New Roman"/>
                <w:sz w:val="22"/>
              </w:rPr>
              <w:t>Формування ознак</w:t>
            </w:r>
          </w:p>
        </w:tc>
        <w:tc>
          <w:tcPr>
            <w:tcW w:type="dxa" w:w="3515"/>
          </w:tcPr>
          <w:p>
            <w:pPr>
              <w:keepNext/>
              <w:spacing w:line="240" w:lineRule="auto" w:after="0"/>
              <w:ind w:firstLine="0"/>
            </w:pPr>
            <w:r/>
            <w:r>
              <w:rPr>
                <w:rFonts w:ascii="Times New Roman" w:hAnsi="Times New Roman"/>
                <w:sz w:val="22"/>
              </w:rPr>
              <w:t>Ручне, задане експертом апріорі</w:t>
            </w:r>
          </w:p>
        </w:tc>
        <w:tc>
          <w:tcPr>
            <w:tcW w:type="dxa" w:w="3515"/>
          </w:tcPr>
          <w:p>
            <w:pPr>
              <w:keepNext/>
              <w:spacing w:line="240" w:lineRule="auto" w:after="0"/>
              <w:ind w:firstLine="0"/>
            </w:pPr>
            <w:r/>
            <w:r>
              <w:rPr>
                <w:rFonts w:ascii="Times New Roman" w:hAnsi="Times New Roman"/>
                <w:sz w:val="22"/>
              </w:rPr>
              <w:t>Автоматичне, навчається з даних</w:t>
            </w:r>
          </w:p>
        </w:tc>
      </w:tr>
      <w:tr>
        <w:trPr>
          <w:cantSplit/>
        </w:trPr>
        <w:tc>
          <w:tcPr>
            <w:tcW w:type="dxa" w:w="2608"/>
          </w:tcPr>
          <w:p>
            <w:pPr>
              <w:keepNext/>
              <w:spacing w:line="240" w:lineRule="auto" w:after="0"/>
              <w:ind w:firstLine="0"/>
            </w:pPr>
            <w:r/>
            <w:r>
              <w:rPr>
                <w:rFonts w:ascii="Times New Roman" w:hAnsi="Times New Roman"/>
                <w:sz w:val="22"/>
              </w:rPr>
              <w:t>Потреба в сегментації легень</w:t>
            </w:r>
          </w:p>
        </w:tc>
        <w:tc>
          <w:tcPr>
            <w:tcW w:type="dxa" w:w="3515"/>
          </w:tcPr>
          <w:p>
            <w:pPr>
              <w:keepNext/>
              <w:spacing w:line="240" w:lineRule="auto" w:after="0"/>
              <w:ind w:firstLine="0"/>
            </w:pPr>
            <w:r/>
            <w:r>
              <w:rPr>
                <w:rFonts w:ascii="Times New Roman" w:hAnsi="Times New Roman"/>
                <w:sz w:val="22"/>
              </w:rPr>
              <w:t>Як правило, обов'язкова</w:t>
            </w:r>
          </w:p>
        </w:tc>
        <w:tc>
          <w:tcPr>
            <w:tcW w:type="dxa" w:w="3515"/>
          </w:tcPr>
          <w:p>
            <w:pPr>
              <w:keepNext/>
              <w:spacing w:line="240" w:lineRule="auto" w:after="0"/>
              <w:ind w:firstLine="0"/>
            </w:pPr>
            <w:r/>
            <w:r>
              <w:rPr>
                <w:rFonts w:ascii="Times New Roman" w:hAnsi="Times New Roman"/>
                <w:sz w:val="22"/>
              </w:rPr>
              <w:t>Не обов'язкова</w:t>
            </w:r>
          </w:p>
        </w:tc>
      </w:tr>
      <w:tr>
        <w:trPr>
          <w:cantSplit/>
        </w:trPr>
        <w:tc>
          <w:tcPr>
            <w:tcW w:type="dxa" w:w="2608"/>
          </w:tcPr>
          <w:p>
            <w:pPr>
              <w:keepNext/>
              <w:spacing w:line="240" w:lineRule="auto" w:after="0"/>
              <w:ind w:firstLine="0"/>
            </w:pPr>
            <w:r/>
            <w:r>
              <w:rPr>
                <w:rFonts w:ascii="Times New Roman" w:hAnsi="Times New Roman"/>
                <w:sz w:val="22"/>
              </w:rPr>
              <w:t>Обсяг навчальних даних</w:t>
            </w:r>
          </w:p>
        </w:tc>
        <w:tc>
          <w:tcPr>
            <w:tcW w:type="dxa" w:w="3515"/>
          </w:tcPr>
          <w:p>
            <w:pPr>
              <w:keepNext/>
              <w:spacing w:line="240" w:lineRule="auto" w:after="0"/>
              <w:ind w:firstLine="0"/>
            </w:pPr>
            <w:r/>
            <w:r>
              <w:rPr>
                <w:rFonts w:ascii="Times New Roman" w:hAnsi="Times New Roman"/>
                <w:sz w:val="22"/>
              </w:rPr>
              <w:t>Сотні–тисячі зображень</w:t>
            </w:r>
          </w:p>
        </w:tc>
        <w:tc>
          <w:tcPr>
            <w:tcW w:type="dxa" w:w="3515"/>
          </w:tcPr>
          <w:p>
            <w:pPr>
              <w:keepNext/>
              <w:spacing w:line="240" w:lineRule="auto" w:after="0"/>
              <w:ind w:firstLine="0"/>
            </w:pPr>
            <w:r/>
            <w:r>
              <w:rPr>
                <w:rFonts w:ascii="Times New Roman" w:hAnsi="Times New Roman"/>
                <w:sz w:val="22"/>
              </w:rPr>
              <w:t>Десятки тисяч зображень</w:t>
            </w:r>
          </w:p>
        </w:tc>
      </w:tr>
      <w:tr>
        <w:trPr>
          <w:cantSplit/>
        </w:trPr>
        <w:tc>
          <w:tcPr>
            <w:tcW w:type="dxa" w:w="2608"/>
          </w:tcPr>
          <w:p>
            <w:pPr>
              <w:keepNext/>
              <w:spacing w:line="240" w:lineRule="auto" w:after="0"/>
              <w:ind w:firstLine="0"/>
            </w:pPr>
            <w:r/>
            <w:r>
              <w:rPr>
                <w:rFonts w:ascii="Times New Roman" w:hAnsi="Times New Roman"/>
                <w:sz w:val="22"/>
              </w:rPr>
              <w:t>Обчислювальні витрати на навчання</w:t>
            </w:r>
          </w:p>
        </w:tc>
        <w:tc>
          <w:tcPr>
            <w:tcW w:type="dxa" w:w="3515"/>
          </w:tcPr>
          <w:p>
            <w:pPr>
              <w:keepNext/>
              <w:spacing w:line="240" w:lineRule="auto" w:after="0"/>
              <w:ind w:firstLine="0"/>
            </w:pPr>
            <w:r/>
            <w:r>
              <w:rPr>
                <w:rFonts w:ascii="Times New Roman" w:hAnsi="Times New Roman"/>
                <w:sz w:val="22"/>
              </w:rPr>
              <w:t>Низькі</w:t>
            </w:r>
          </w:p>
        </w:tc>
        <w:tc>
          <w:tcPr>
            <w:tcW w:type="dxa" w:w="3515"/>
          </w:tcPr>
          <w:p>
            <w:pPr>
              <w:keepNext/>
              <w:spacing w:line="240" w:lineRule="auto" w:after="0"/>
              <w:ind w:firstLine="0"/>
            </w:pPr>
            <w:r/>
            <w:r>
              <w:rPr>
                <w:rFonts w:ascii="Times New Roman" w:hAnsi="Times New Roman"/>
                <w:sz w:val="22"/>
              </w:rPr>
              <w:t>Високі, потрібен GPU</w:t>
            </w:r>
          </w:p>
        </w:tc>
      </w:tr>
      <w:tr>
        <w:trPr>
          <w:cantSplit/>
        </w:trPr>
        <w:tc>
          <w:tcPr>
            <w:tcW w:type="dxa" w:w="2608"/>
          </w:tcPr>
          <w:p>
            <w:pPr>
              <w:keepNext/>
              <w:spacing w:line="240" w:lineRule="auto" w:after="0"/>
              <w:ind w:firstLine="0"/>
            </w:pPr>
            <w:r/>
            <w:r>
              <w:rPr>
                <w:rFonts w:ascii="Times New Roman" w:hAnsi="Times New Roman"/>
                <w:sz w:val="22"/>
              </w:rPr>
              <w:t>Стійкість до варіативності знімків</w:t>
            </w:r>
          </w:p>
        </w:tc>
        <w:tc>
          <w:tcPr>
            <w:tcW w:type="dxa" w:w="3515"/>
          </w:tcPr>
          <w:p>
            <w:pPr>
              <w:keepNext/>
              <w:spacing w:line="240" w:lineRule="auto" w:after="0"/>
              <w:ind w:firstLine="0"/>
            </w:pPr>
            <w:r/>
            <w:r>
              <w:rPr>
                <w:rFonts w:ascii="Times New Roman" w:hAnsi="Times New Roman"/>
                <w:sz w:val="22"/>
              </w:rPr>
              <w:t>Низька</w:t>
            </w:r>
          </w:p>
        </w:tc>
        <w:tc>
          <w:tcPr>
            <w:tcW w:type="dxa" w:w="3515"/>
          </w:tcPr>
          <w:p>
            <w:pPr>
              <w:keepNext/>
              <w:spacing w:line="240" w:lineRule="auto" w:after="0"/>
              <w:ind w:firstLine="0"/>
            </w:pPr>
            <w:r/>
            <w:r>
              <w:rPr>
                <w:rFonts w:ascii="Times New Roman" w:hAnsi="Times New Roman"/>
                <w:sz w:val="22"/>
              </w:rPr>
              <w:t>Висока за умови різноманітної вибірки</w:t>
            </w:r>
          </w:p>
        </w:tc>
      </w:tr>
      <w:tr>
        <w:trPr>
          <w:cantSplit/>
        </w:trPr>
        <w:tc>
          <w:tcPr>
            <w:tcW w:type="dxa" w:w="2608"/>
          </w:tcPr>
          <w:p>
            <w:pPr>
              <w:keepNext/>
              <w:spacing w:line="240" w:lineRule="auto" w:after="0"/>
              <w:ind w:firstLine="0"/>
            </w:pPr>
            <w:r/>
            <w:r>
              <w:rPr>
                <w:rFonts w:ascii="Times New Roman" w:hAnsi="Times New Roman"/>
                <w:sz w:val="22"/>
              </w:rPr>
              <w:t>Інтерпретованість</w:t>
            </w:r>
          </w:p>
        </w:tc>
        <w:tc>
          <w:tcPr>
            <w:tcW w:type="dxa" w:w="3515"/>
          </w:tcPr>
          <w:p>
            <w:pPr>
              <w:keepNext/>
              <w:spacing w:line="240" w:lineRule="auto" w:after="0"/>
              <w:ind w:firstLine="0"/>
            </w:pPr>
            <w:r/>
            <w:r>
              <w:rPr>
                <w:rFonts w:ascii="Times New Roman" w:hAnsi="Times New Roman"/>
                <w:sz w:val="22"/>
              </w:rPr>
              <w:t>Висока, ознаки мають фізичний зміст</w:t>
            </w:r>
          </w:p>
        </w:tc>
        <w:tc>
          <w:tcPr>
            <w:tcW w:type="dxa" w:w="3515"/>
          </w:tcPr>
          <w:p>
            <w:pPr>
              <w:keepNext/>
              <w:spacing w:line="240" w:lineRule="auto" w:after="0"/>
              <w:ind w:firstLine="0"/>
            </w:pPr>
            <w:r/>
            <w:r>
              <w:rPr>
                <w:rFonts w:ascii="Times New Roman" w:hAnsi="Times New Roman"/>
                <w:sz w:val="22"/>
              </w:rPr>
              <w:t>Низька, потрібні окремі методи пояснення</w:t>
            </w:r>
          </w:p>
        </w:tc>
      </w:tr>
      <w:tr>
        <w:trPr>
          <w:cantSplit/>
        </w:trPr>
        <w:tc>
          <w:tcPr>
            <w:tcW w:type="dxa" w:w="2608"/>
          </w:tcPr>
          <w:p>
            <w:pPr>
              <w:spacing w:line="240" w:lineRule="auto" w:after="0"/>
              <w:ind w:firstLine="0"/>
            </w:pPr>
            <w:r/>
            <w:r>
              <w:rPr>
                <w:rFonts w:ascii="Times New Roman" w:hAnsi="Times New Roman"/>
                <w:sz w:val="22"/>
              </w:rPr>
              <w:t>Якість на задачі виявлення затемнень</w:t>
            </w:r>
          </w:p>
        </w:tc>
        <w:tc>
          <w:tcPr>
            <w:tcW w:type="dxa" w:w="3515"/>
          </w:tcPr>
          <w:p>
            <w:pPr>
              <w:spacing w:line="240" w:lineRule="auto" w:after="0"/>
              <w:ind w:firstLine="0"/>
            </w:pPr>
            <w:r/>
            <w:r>
              <w:rPr>
                <w:rFonts w:ascii="Times New Roman" w:hAnsi="Times New Roman"/>
                <w:sz w:val="22"/>
              </w:rPr>
              <w:t>Помірна</w:t>
            </w:r>
          </w:p>
        </w:tc>
        <w:tc>
          <w:tcPr>
            <w:tcW w:type="dxa" w:w="3515"/>
          </w:tcPr>
          <w:p>
            <w:pPr>
              <w:spacing w:line="240" w:lineRule="auto" w:after="0"/>
              <w:ind w:firstLine="0"/>
            </w:pPr>
            <w:r/>
            <w:r>
              <w:rPr>
                <w:rFonts w:ascii="Times New Roman" w:hAnsi="Times New Roman"/>
                <w:sz w:val="22"/>
              </w:rPr>
              <w:t>Висока, відповідає рівню фахівця на окремих класах</w:t>
            </w:r>
          </w:p>
        </w:tc>
      </w:tr>
    </w:tbl>
    <w:p>
      <w:pPr>
        <w:spacing w:after="12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1.3. Згорткові нейронні мережі у задачах класифікації медичних зображень</w:t>
      </w:r>
    </w:p>
    <w:p>
      <w:pPr>
        <w:keepNext/>
        <w:spacing w:after="120"/>
        <w:ind w:firstLine="850"/>
        <w:jc w:val="both"/>
      </w:pPr>
      <w:r>
        <w:rPr>
          <w:rFonts w:ascii="Times New Roman" w:hAnsi="Times New Roman"/>
          <w:b w:val="0"/>
          <w:i/>
        </w:rPr>
        <w:t>1.3.1. Математичні основи згорткових нейронних мереж</w:t>
      </w:r>
    </w:p>
    <w:p>
      <w:pPr>
        <w:spacing w:after="0"/>
        <w:ind w:firstLine="850"/>
        <w:jc w:val="both"/>
      </w:pPr>
      <w:r>
        <w:rPr>
          <w:rFonts w:ascii="Times New Roman" w:hAnsi="Times New Roman"/>
          <w:b w:val="0"/>
          <w:i w:val="0"/>
        </w:rPr>
        <w:t>Згорткова нейронна мережа (Convolutional Neural Network, CNN) є різновидом багатошарової нейронної мережі, у якій операція матричного множення замінена операцією дискретної згортки з ядром невеликого розміру [17]. Саме ця заміна забезпечує три властивості, критичні для аналізу зображень: локальність зв'язків, спільне використання ваг та інваріантність до паралельного перенесення ознаки.</w:t>
      </w:r>
    </w:p>
    <w:p>
      <w:pPr>
        <w:spacing w:after="0"/>
        <w:ind w:firstLine="850"/>
        <w:jc w:val="both"/>
      </w:pPr>
      <w:r>
        <w:rPr>
          <w:rFonts w:ascii="Times New Roman" w:hAnsi="Times New Roman"/>
          <w:b w:val="0"/>
          <w:i w:val="0"/>
        </w:rPr>
        <w:t>Нехай на вхід шару подано тензор ознак з C каналами, а ядро згортки має розмір k×k. Значення елемента вихідної карти ознак обчислюється за формулою</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y[m, i, j] = Σ(c) Σ(u, v) w[m, c, u, v] · x[c, i+u, j+v] + b[m]</w:t>
        <w:tab/>
        <w:t>(1.1)</w:t>
      </w:r>
    </w:p>
    <w:p>
      <w:pPr>
        <w:spacing w:after="0" w:line="360" w:lineRule="auto"/>
        <w:ind w:firstLine="0"/>
      </w:pPr>
    </w:p>
    <w:p>
      <w:pPr>
        <w:spacing w:after="0"/>
        <w:ind w:firstLine="0"/>
        <w:jc w:val="both"/>
      </w:pPr>
      <w:r>
        <w:rPr>
          <w:rFonts w:ascii="Times New Roman" w:hAnsi="Times New Roman"/>
          <w:b w:val="0"/>
          <w:i w:val="0"/>
        </w:rPr>
        <w:t>де</w:t>
      </w:r>
    </w:p>
    <w:p>
      <w:pPr>
        <w:spacing w:after="0"/>
        <w:ind w:firstLine="0" w:left="850"/>
        <w:jc w:val="both"/>
      </w:pPr>
      <w:r>
        <w:rPr>
          <w:rFonts w:ascii="Times New Roman" w:hAnsi="Times New Roman"/>
          <w:b w:val="0"/>
          <w:i w:val="0"/>
        </w:rPr>
        <w:t>x — вхідний тензор ознак, c = 1..C — номер каналу;</w:t>
      </w:r>
    </w:p>
    <w:p>
      <w:pPr>
        <w:spacing w:after="0"/>
        <w:ind w:firstLine="0" w:left="850"/>
        <w:jc w:val="both"/>
      </w:pPr>
      <w:r>
        <w:rPr>
          <w:rFonts w:ascii="Times New Roman" w:hAnsi="Times New Roman"/>
          <w:b w:val="0"/>
          <w:i w:val="0"/>
        </w:rPr>
        <w:t>w[m] — ядро m-го фільтра, b[m] — його зміщення;</w:t>
      </w:r>
    </w:p>
    <w:p>
      <w:pPr>
        <w:spacing w:after="0"/>
        <w:ind w:firstLine="0" w:left="850"/>
        <w:jc w:val="both"/>
      </w:pPr>
      <w:r>
        <w:rPr>
          <w:rFonts w:ascii="Times New Roman" w:hAnsi="Times New Roman"/>
          <w:b w:val="0"/>
          <w:i w:val="0"/>
        </w:rPr>
        <w:t>y[m] — m-та вихідна карта ознак;</w:t>
      </w:r>
    </w:p>
    <w:p>
      <w:pPr>
        <w:spacing w:after="0"/>
        <w:ind w:firstLine="0" w:left="850"/>
        <w:jc w:val="both"/>
      </w:pPr>
      <w:r>
        <w:rPr>
          <w:rFonts w:ascii="Times New Roman" w:hAnsi="Times New Roman"/>
          <w:b w:val="0"/>
          <w:i w:val="0"/>
        </w:rPr>
        <w:t>u, v = 0..k−1 — координати всередині ядра;</w:t>
      </w:r>
    </w:p>
    <w:p>
      <w:pPr>
        <w:spacing w:after="0"/>
        <w:ind w:firstLine="0" w:left="850"/>
        <w:jc w:val="both"/>
      </w:pPr>
      <w:r>
        <w:rPr>
          <w:rFonts w:ascii="Times New Roman" w:hAnsi="Times New Roman"/>
          <w:b w:val="0"/>
          <w:i w:val="0"/>
        </w:rPr>
        <w:t>i, j — просторові координати елемента карти ознак.</w:t>
      </w:r>
    </w:p>
    <w:p>
      <w:pPr>
        <w:spacing w:after="0"/>
        <w:ind w:firstLine="850"/>
        <w:jc w:val="both"/>
      </w:pPr>
      <w:r>
        <w:rPr>
          <w:rFonts w:ascii="Times New Roman" w:hAnsi="Times New Roman"/>
          <w:b w:val="0"/>
          <w:i w:val="0"/>
        </w:rPr>
        <w:t>Після лінійної операції застосовується нелінійна функція активації. Стандартним вибором для згорткових мереж є кусково-лінійна функція ReLU (Rectified Linear Unit), яка не має ефекту згасання градієнта у додатній області та обчислюється за одну операцію порівняння [18]:</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ReLU(z) = max(0, z)</w:t>
        <w:tab/>
        <w:t>(1.2)</w:t>
      </w:r>
    </w:p>
    <w:p>
      <w:pPr>
        <w:spacing w:after="0" w:line="360" w:lineRule="auto"/>
        <w:ind w:firstLine="0"/>
      </w:pPr>
    </w:p>
    <w:p>
      <w:pPr>
        <w:spacing w:after="0"/>
        <w:ind w:firstLine="850"/>
        <w:jc w:val="both"/>
      </w:pPr>
      <w:r>
        <w:rPr>
          <w:rFonts w:ascii="Times New Roman" w:hAnsi="Times New Roman"/>
          <w:b w:val="0"/>
          <w:i w:val="0"/>
        </w:rPr>
        <w:t>Для зменшення просторової розмірності карт ознак та розширення рецептивного поля застосовується операція субдискретизації. Найпоширенішим її варіантом є максимізуюче об'єднання у вікні розміру p×p:</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y[m, i, j] = max{ x[m, i·p+u, j·p+v] : 0 ≤ u, v &lt; p }</w:t>
        <w:tab/>
        <w:t>(1.3)</w:t>
      </w:r>
    </w:p>
    <w:p>
      <w:pPr>
        <w:spacing w:after="0" w:line="360" w:lineRule="auto"/>
        <w:ind w:firstLine="0"/>
      </w:pPr>
    </w:p>
    <w:p>
      <w:pPr>
        <w:spacing w:after="0"/>
        <w:ind w:firstLine="850"/>
        <w:jc w:val="both"/>
      </w:pPr>
      <w:r>
        <w:rPr>
          <w:rFonts w:ascii="Times New Roman" w:hAnsi="Times New Roman"/>
          <w:b w:val="0"/>
          <w:i w:val="0"/>
        </w:rPr>
        <w:t>У сучасних архітектурах класифікації перехід від просторових карт ознак до вектора ознак виконується не повнозв'язним шаром, а глобальним усередненням (Global Average Pooling, GAP), що різко зменшує кількість параметрів і знижує схильність до перенавчання:</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f[m] = (1 / (H·W)) · Σ(i=1..H) Σ(j=1..W) A[m, i, j]</w:t>
        <w:tab/>
        <w:t>(1.4)</w:t>
      </w:r>
    </w:p>
    <w:p>
      <w:pPr>
        <w:spacing w:after="0" w:line="360" w:lineRule="auto"/>
        <w:ind w:firstLine="0"/>
      </w:pPr>
    </w:p>
    <w:p>
      <w:pPr>
        <w:spacing w:after="0"/>
        <w:ind w:firstLine="0"/>
        <w:jc w:val="both"/>
      </w:pPr>
      <w:r>
        <w:rPr>
          <w:rFonts w:ascii="Times New Roman" w:hAnsi="Times New Roman"/>
          <w:b w:val="0"/>
          <w:i w:val="0"/>
        </w:rPr>
        <w:t>де</w:t>
      </w:r>
    </w:p>
    <w:p>
      <w:pPr>
        <w:spacing w:after="0"/>
        <w:ind w:firstLine="0" w:left="850"/>
        <w:jc w:val="both"/>
      </w:pPr>
      <w:r>
        <w:rPr>
          <w:rFonts w:ascii="Times New Roman" w:hAnsi="Times New Roman"/>
          <w:b w:val="0"/>
          <w:i w:val="0"/>
        </w:rPr>
        <w:t>A[m] — m-та карта ознак останнього згорткового шару;</w:t>
      </w:r>
    </w:p>
    <w:p>
      <w:pPr>
        <w:spacing w:after="0"/>
        <w:ind w:firstLine="0" w:left="850"/>
        <w:jc w:val="both"/>
      </w:pPr>
      <w:r>
        <w:rPr>
          <w:rFonts w:ascii="Times New Roman" w:hAnsi="Times New Roman"/>
          <w:b w:val="0"/>
          <w:i w:val="0"/>
        </w:rPr>
        <w:t>H, W — її просторові розміри;</w:t>
      </w:r>
    </w:p>
    <w:p>
      <w:pPr>
        <w:spacing w:after="0"/>
        <w:ind w:firstLine="0" w:left="850"/>
        <w:jc w:val="both"/>
      </w:pPr>
      <w:r>
        <w:rPr>
          <w:rFonts w:ascii="Times New Roman" w:hAnsi="Times New Roman"/>
          <w:b w:val="0"/>
          <w:i w:val="0"/>
        </w:rPr>
        <w:t>f[m] — m-та компонента результуючого вектора ознак.</w:t>
      </w:r>
    </w:p>
    <w:p>
      <w:pPr>
        <w:spacing w:after="0"/>
        <w:ind w:firstLine="850"/>
        <w:jc w:val="both"/>
      </w:pPr>
      <w:r>
        <w:rPr>
          <w:rFonts w:ascii="Times New Roman" w:hAnsi="Times New Roman"/>
          <w:b w:val="0"/>
          <w:i w:val="0"/>
        </w:rPr>
        <w:t>Для задачі бінарної класифікації вихідний повнозв'язний шар формує єдине число — логіт z, який перетворюється на ймовірність належності до позитивного класу логістичною функцією:</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p = σ(z) = 1 / (1 + exp(−z))</w:t>
        <w:tab/>
        <w:t>(1.5)</w:t>
      </w:r>
    </w:p>
    <w:p>
      <w:pPr>
        <w:spacing w:after="0" w:line="360" w:lineRule="auto"/>
        <w:ind w:firstLine="0"/>
      </w:pPr>
    </w:p>
    <w:p>
      <w:pPr>
        <w:spacing w:after="0"/>
        <w:ind w:firstLine="850"/>
        <w:jc w:val="both"/>
      </w:pPr>
      <w:r>
        <w:rPr>
          <w:rFonts w:ascii="Times New Roman" w:hAnsi="Times New Roman"/>
          <w:b w:val="0"/>
          <w:i w:val="0"/>
        </w:rPr>
        <w:t>Навчання здійснюється мінімізацією функції втрат. За наявності дисбалансу класів, характерного для медичних вибірок, застосовується зважена бінарна перехресна ентропія, у якій внесок позитивного класу підсилюється коефіцієнтом, оберненим до його частки у навчальній вибірці:</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L = −(1/N) · Σ(n=1..N) [ w₊ · y_n · ln(p_n) + (1 − y_n) · ln(1 − p_n) ]</w:t>
        <w:tab/>
        <w:t>(1.6)</w:t>
      </w:r>
    </w:p>
    <w:p>
      <w:pPr>
        <w:spacing w:after="0" w:line="360" w:lineRule="auto"/>
        <w:ind w:firstLine="0"/>
      </w:pPr>
    </w:p>
    <w:p>
      <w:pPr>
        <w:spacing w:after="0"/>
        <w:ind w:firstLine="0"/>
        <w:jc w:val="both"/>
      </w:pPr>
      <w:r>
        <w:rPr>
          <w:rFonts w:ascii="Times New Roman" w:hAnsi="Times New Roman"/>
          <w:b w:val="0"/>
          <w:i w:val="0"/>
        </w:rPr>
        <w:t>де</w:t>
      </w:r>
    </w:p>
    <w:p>
      <w:pPr>
        <w:spacing w:after="0"/>
        <w:ind w:firstLine="0" w:left="850"/>
        <w:jc w:val="both"/>
      </w:pPr>
      <w:r>
        <w:rPr>
          <w:rFonts w:ascii="Times New Roman" w:hAnsi="Times New Roman"/>
          <w:b w:val="0"/>
          <w:i w:val="0"/>
        </w:rPr>
        <w:t>N — кількість прикладів у вибірці;</w:t>
      </w:r>
    </w:p>
    <w:p>
      <w:pPr>
        <w:spacing w:after="0"/>
        <w:ind w:firstLine="0" w:left="850"/>
        <w:jc w:val="both"/>
      </w:pPr>
      <w:r>
        <w:rPr>
          <w:rFonts w:ascii="Times New Roman" w:hAnsi="Times New Roman"/>
          <w:b w:val="0"/>
          <w:i w:val="0"/>
        </w:rPr>
        <w:t>y_n — істинна мітка (1 — наявність затемнення, 0 — його відсутність);</w:t>
      </w:r>
    </w:p>
    <w:p>
      <w:pPr>
        <w:spacing w:after="0"/>
        <w:ind w:firstLine="0" w:left="850"/>
        <w:jc w:val="both"/>
      </w:pPr>
      <w:r>
        <w:rPr>
          <w:rFonts w:ascii="Times New Roman" w:hAnsi="Times New Roman"/>
          <w:b w:val="0"/>
          <w:i w:val="0"/>
        </w:rPr>
        <w:t>p_n — прогнозована ймовірність;</w:t>
      </w:r>
    </w:p>
    <w:p>
      <w:pPr>
        <w:spacing w:after="0"/>
        <w:ind w:firstLine="0" w:left="850"/>
        <w:jc w:val="both"/>
      </w:pPr>
      <w:r>
        <w:rPr>
          <w:rFonts w:ascii="Times New Roman" w:hAnsi="Times New Roman"/>
          <w:b w:val="0"/>
          <w:i w:val="0"/>
        </w:rPr>
        <w:t>w₊ — вага позитивного класу, що дорівнює відношенню кількості негативних прикладів до кількості позитивних.</w:t>
      </w:r>
    </w:p>
    <w:p>
      <w:pPr>
        <w:spacing w:after="0"/>
        <w:ind w:firstLine="850"/>
        <w:jc w:val="both"/>
      </w:pPr>
      <w:r>
        <w:rPr>
          <w:rFonts w:ascii="Times New Roman" w:hAnsi="Times New Roman"/>
          <w:b w:val="0"/>
          <w:i w:val="0"/>
        </w:rPr>
        <w:t>Стабільність навчання глибоких мереж забезпечується пакетною нормалізацією, яка нормує активації в межах міні-пакета і суттєво послаблює залежність від початкової ініціалізації [19], а також регуляризацією методом випадкового виключення нейронів (dropout) [20]. Типова послідовність операцій усередині згорткового блоку наведена на рис. 1.2.</w:t>
      </w:r>
    </w:p>
    <w:p>
      <w:pPr>
        <w:keepNext/>
        <w:spacing w:before="120"/>
        <w:ind w:firstLine="0"/>
        <w:jc w:val="center"/>
      </w:pPr>
      <w:r>
        <w:drawing>
          <wp:inline xmlns:a="http://schemas.openxmlformats.org/drawingml/2006/main" xmlns:pic="http://schemas.openxmlformats.org/drawingml/2006/picture">
            <wp:extent cx="5580000" cy="1831484"/>
            <wp:docPr id="2" name="Picture 2"/>
            <wp:cNvGraphicFramePr>
              <a:graphicFrameLocks noChangeAspect="1"/>
            </wp:cNvGraphicFramePr>
            <a:graphic>
              <a:graphicData uri="http://schemas.openxmlformats.org/drawingml/2006/picture">
                <pic:pic>
                  <pic:nvPicPr>
                    <pic:cNvPr id="0" name="fig_1_2_cnn.png"/>
                    <pic:cNvPicPr/>
                  </pic:nvPicPr>
                  <pic:blipFill>
                    <a:blip r:embed="rId11"/>
                    <a:stretch>
                      <a:fillRect/>
                    </a:stretch>
                  </pic:blipFill>
                  <pic:spPr>
                    <a:xfrm>
                      <a:off x="0" y="0"/>
                      <a:ext cx="5580000" cy="1831484"/>
                    </a:xfrm>
                    <a:prstGeom prst="rect"/>
                  </pic:spPr>
                </pic:pic>
              </a:graphicData>
            </a:graphic>
          </wp:inline>
        </w:drawing>
      </w:r>
    </w:p>
    <w:p>
      <w:pPr>
        <w:spacing w:after="200" w:line="240" w:lineRule="auto"/>
        <w:ind w:firstLine="0"/>
        <w:jc w:val="center"/>
      </w:pPr>
      <w:r>
        <w:rPr>
          <w:rFonts w:ascii="Times New Roman" w:hAnsi="Times New Roman"/>
          <w:b w:val="0"/>
          <w:i w:val="0"/>
          <w:sz w:val="26"/>
        </w:rPr>
        <w:t>Рис. 1.2. Структура типового блоку згорткової нейронної мережі</w:t>
      </w:r>
    </w:p>
    <w:p>
      <w:pPr>
        <w:keepNext/>
        <w:spacing w:after="120"/>
        <w:ind w:firstLine="850"/>
        <w:jc w:val="both"/>
      </w:pPr>
      <w:r>
        <w:rPr>
          <w:rFonts w:ascii="Times New Roman" w:hAnsi="Times New Roman"/>
          <w:b w:val="0"/>
          <w:i/>
        </w:rPr>
        <w:t>1.3.2. Еволюція архітектур згорткових мереж</w:t>
      </w:r>
    </w:p>
    <w:p>
      <w:pPr>
        <w:spacing w:after="0"/>
        <w:ind w:firstLine="850"/>
        <w:jc w:val="both"/>
      </w:pPr>
      <w:r>
        <w:rPr>
          <w:rFonts w:ascii="Times New Roman" w:hAnsi="Times New Roman"/>
          <w:b w:val="0"/>
          <w:i w:val="0"/>
        </w:rPr>
        <w:t>Розвиток згорткових архітектур визначався послідовним подоланням конкретних технічних обмежень. Мережа LeNet-5 [17] сформувала базову схему чергування згорткових шарів і шарів субдискретизації. Архітектура AlexNet [21] продемонструвала практичну придатність глибоких мереж на великих вибірках і запровадила ReLU та dropout як стандарт. VGG [22] показала, що стек ядер 3×3 є ефективнішим за поодинокі ядра великого розміру: два послідовні шари 3×3 мають таке саме рецептивне поле, як один шар 5×5, але містять менше параметрів і вносять додаткову нелінійність. ResNet [23] розв'язала проблему деградації дуже глибоких мереж за допомогою залишкових з'єднань, а DenseNet [24] узагальнила цю ідею до щільних з'єднань між усіма шарами блоку. EfficientNet [25] формалізувала правило узгодженого масштабування глибини, ширини та роздільної здатності, а MobileNet [26] запровадила роздільні за глибиною згортки, орієнтовані на обмежені обчислювальні ресурси. Узагальнення наведено у табл. 1.2.</w:t>
      </w:r>
    </w:p>
    <w:p>
      <w:pPr>
        <w:keepNext/>
        <w:spacing w:after="0" w:line="240" w:lineRule="auto"/>
        <w:ind w:firstLine="0"/>
        <w:jc w:val="right"/>
      </w:pPr>
      <w:r>
        <w:rPr>
          <w:rFonts w:ascii="Times New Roman" w:hAnsi="Times New Roman"/>
          <w:b w:val="0"/>
          <w:i w:val="0"/>
          <w:sz w:val="26"/>
        </w:rPr>
        <w:t>Таблиця 1.2</w:t>
      </w:r>
    </w:p>
    <w:p>
      <w:pPr>
        <w:keepNext/>
        <w:spacing w:after="80" w:line="240" w:lineRule="auto"/>
        <w:ind w:firstLine="0"/>
        <w:jc w:val="center"/>
      </w:pPr>
      <w:r>
        <w:rPr>
          <w:rFonts w:ascii="Times New Roman" w:hAnsi="Times New Roman"/>
          <w:b/>
          <w:i w:val="0"/>
          <w:sz w:val="26"/>
        </w:rPr>
        <w:t>Порівняльна характеристика базових згорткових архітектур</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381"/>
          </w:tcPr>
          <w:p>
            <w:pPr>
              <w:keepNext/>
              <w:spacing w:line="240" w:lineRule="auto" w:after="0"/>
              <w:ind w:firstLine="0"/>
              <w:jc w:val="center"/>
            </w:pPr>
            <w:r/>
            <w:r>
              <w:rPr>
                <w:rFonts w:ascii="Times New Roman" w:hAnsi="Times New Roman"/>
                <w:b/>
                <w:sz w:val="22"/>
              </w:rPr>
              <w:t>Архітектура</w:t>
            </w:r>
          </w:p>
        </w:tc>
        <w:tc>
          <w:tcPr>
            <w:tcW w:type="dxa" w:w="1134"/>
          </w:tcPr>
          <w:p>
            <w:pPr>
              <w:keepNext/>
              <w:spacing w:line="240" w:lineRule="auto" w:after="0"/>
              <w:ind w:firstLine="0"/>
              <w:jc w:val="center"/>
            </w:pPr>
            <w:r/>
            <w:r>
              <w:rPr>
                <w:rFonts w:ascii="Times New Roman" w:hAnsi="Times New Roman"/>
                <w:b/>
                <w:sz w:val="22"/>
              </w:rPr>
              <w:t>Рік</w:t>
            </w:r>
          </w:p>
        </w:tc>
        <w:tc>
          <w:tcPr>
            <w:tcW w:type="dxa" w:w="1814"/>
          </w:tcPr>
          <w:p>
            <w:pPr>
              <w:keepNext/>
              <w:spacing w:line="240" w:lineRule="auto" w:after="0"/>
              <w:ind w:firstLine="0"/>
              <w:jc w:val="center"/>
            </w:pPr>
            <w:r/>
            <w:r>
              <w:rPr>
                <w:rFonts w:ascii="Times New Roman" w:hAnsi="Times New Roman"/>
                <w:b/>
                <w:sz w:val="22"/>
              </w:rPr>
              <w:t>Параметрів, млн</w:t>
            </w:r>
          </w:p>
        </w:tc>
        <w:tc>
          <w:tcPr>
            <w:tcW w:type="dxa" w:w="4309"/>
          </w:tcPr>
          <w:p>
            <w:pPr>
              <w:keepNext/>
              <w:spacing w:line="240" w:lineRule="auto" w:after="0"/>
              <w:ind w:firstLine="0"/>
              <w:jc w:val="center"/>
            </w:pPr>
            <w:r/>
            <w:r>
              <w:rPr>
                <w:rFonts w:ascii="Times New Roman" w:hAnsi="Times New Roman"/>
                <w:b/>
                <w:sz w:val="22"/>
              </w:rPr>
              <w:t>Ключова ідея</w:t>
            </w:r>
          </w:p>
        </w:tc>
      </w:tr>
      <w:tr>
        <w:trPr>
          <w:cantSplit/>
        </w:trPr>
        <w:tc>
          <w:tcPr>
            <w:tcW w:type="dxa" w:w="2381"/>
          </w:tcPr>
          <w:p>
            <w:pPr>
              <w:keepNext/>
              <w:spacing w:line="240" w:lineRule="auto" w:after="0"/>
              <w:ind w:firstLine="0"/>
            </w:pPr>
            <w:r/>
            <w:r>
              <w:rPr>
                <w:rFonts w:ascii="Times New Roman" w:hAnsi="Times New Roman"/>
                <w:sz w:val="22"/>
              </w:rPr>
              <w:t>LeNet-5</w:t>
            </w:r>
          </w:p>
        </w:tc>
        <w:tc>
          <w:tcPr>
            <w:tcW w:type="dxa" w:w="1134"/>
          </w:tcPr>
          <w:p>
            <w:pPr>
              <w:keepNext/>
              <w:spacing w:line="240" w:lineRule="auto" w:after="0"/>
              <w:ind w:firstLine="0"/>
            </w:pPr>
            <w:r/>
            <w:r>
              <w:rPr>
                <w:rFonts w:ascii="Times New Roman" w:hAnsi="Times New Roman"/>
                <w:sz w:val="22"/>
              </w:rPr>
              <w:t>1998</w:t>
            </w:r>
          </w:p>
        </w:tc>
        <w:tc>
          <w:tcPr>
            <w:tcW w:type="dxa" w:w="1814"/>
          </w:tcPr>
          <w:p>
            <w:pPr>
              <w:keepNext/>
              <w:spacing w:line="240" w:lineRule="auto" w:after="0"/>
              <w:ind w:firstLine="0"/>
            </w:pPr>
            <w:r/>
            <w:r>
              <w:rPr>
                <w:rFonts w:ascii="Times New Roman" w:hAnsi="Times New Roman"/>
                <w:sz w:val="22"/>
              </w:rPr>
              <w:t>0,06</w:t>
            </w:r>
          </w:p>
        </w:tc>
        <w:tc>
          <w:tcPr>
            <w:tcW w:type="dxa" w:w="4309"/>
          </w:tcPr>
          <w:p>
            <w:pPr>
              <w:keepNext/>
              <w:spacing w:line="240" w:lineRule="auto" w:after="0"/>
              <w:ind w:firstLine="0"/>
            </w:pPr>
            <w:r/>
            <w:r>
              <w:rPr>
                <w:rFonts w:ascii="Times New Roman" w:hAnsi="Times New Roman"/>
                <w:sz w:val="22"/>
              </w:rPr>
              <w:t>Чергування згортки та субдискретизації</w:t>
            </w:r>
          </w:p>
        </w:tc>
      </w:tr>
      <w:tr>
        <w:trPr>
          <w:cantSplit/>
        </w:trPr>
        <w:tc>
          <w:tcPr>
            <w:tcW w:type="dxa" w:w="2381"/>
          </w:tcPr>
          <w:p>
            <w:pPr>
              <w:keepNext/>
              <w:spacing w:line="240" w:lineRule="auto" w:after="0"/>
              <w:ind w:firstLine="0"/>
            </w:pPr>
            <w:r/>
            <w:r>
              <w:rPr>
                <w:rFonts w:ascii="Times New Roman" w:hAnsi="Times New Roman"/>
                <w:sz w:val="22"/>
              </w:rPr>
              <w:t>AlexNet</w:t>
            </w:r>
          </w:p>
        </w:tc>
        <w:tc>
          <w:tcPr>
            <w:tcW w:type="dxa" w:w="1134"/>
          </w:tcPr>
          <w:p>
            <w:pPr>
              <w:keepNext/>
              <w:spacing w:line="240" w:lineRule="auto" w:after="0"/>
              <w:ind w:firstLine="0"/>
            </w:pPr>
            <w:r/>
            <w:r>
              <w:rPr>
                <w:rFonts w:ascii="Times New Roman" w:hAnsi="Times New Roman"/>
                <w:sz w:val="22"/>
              </w:rPr>
              <w:t>2012</w:t>
            </w:r>
          </w:p>
        </w:tc>
        <w:tc>
          <w:tcPr>
            <w:tcW w:type="dxa" w:w="1814"/>
          </w:tcPr>
          <w:p>
            <w:pPr>
              <w:keepNext/>
              <w:spacing w:line="240" w:lineRule="auto" w:after="0"/>
              <w:ind w:firstLine="0"/>
            </w:pPr>
            <w:r/>
            <w:r>
              <w:rPr>
                <w:rFonts w:ascii="Times New Roman" w:hAnsi="Times New Roman"/>
                <w:sz w:val="22"/>
              </w:rPr>
              <w:t>60</w:t>
            </w:r>
          </w:p>
        </w:tc>
        <w:tc>
          <w:tcPr>
            <w:tcW w:type="dxa" w:w="4309"/>
          </w:tcPr>
          <w:p>
            <w:pPr>
              <w:keepNext/>
              <w:spacing w:line="240" w:lineRule="auto" w:after="0"/>
              <w:ind w:firstLine="0"/>
            </w:pPr>
            <w:r/>
            <w:r>
              <w:rPr>
                <w:rFonts w:ascii="Times New Roman" w:hAnsi="Times New Roman"/>
                <w:sz w:val="22"/>
              </w:rPr>
              <w:t>ReLU, dropout, навчання на GPU</w:t>
            </w:r>
          </w:p>
        </w:tc>
      </w:tr>
      <w:tr>
        <w:trPr>
          <w:cantSplit/>
        </w:trPr>
        <w:tc>
          <w:tcPr>
            <w:tcW w:type="dxa" w:w="2381"/>
          </w:tcPr>
          <w:p>
            <w:pPr>
              <w:keepNext/>
              <w:spacing w:line="240" w:lineRule="auto" w:after="0"/>
              <w:ind w:firstLine="0"/>
            </w:pPr>
            <w:r/>
            <w:r>
              <w:rPr>
                <w:rFonts w:ascii="Times New Roman" w:hAnsi="Times New Roman"/>
                <w:sz w:val="22"/>
              </w:rPr>
              <w:t>VGG-16</w:t>
            </w:r>
          </w:p>
        </w:tc>
        <w:tc>
          <w:tcPr>
            <w:tcW w:type="dxa" w:w="1134"/>
          </w:tcPr>
          <w:p>
            <w:pPr>
              <w:keepNext/>
              <w:spacing w:line="240" w:lineRule="auto" w:after="0"/>
              <w:ind w:firstLine="0"/>
            </w:pPr>
            <w:r/>
            <w:r>
              <w:rPr>
                <w:rFonts w:ascii="Times New Roman" w:hAnsi="Times New Roman"/>
                <w:sz w:val="22"/>
              </w:rPr>
              <w:t>2014</w:t>
            </w:r>
          </w:p>
        </w:tc>
        <w:tc>
          <w:tcPr>
            <w:tcW w:type="dxa" w:w="1814"/>
          </w:tcPr>
          <w:p>
            <w:pPr>
              <w:keepNext/>
              <w:spacing w:line="240" w:lineRule="auto" w:after="0"/>
              <w:ind w:firstLine="0"/>
            </w:pPr>
            <w:r/>
            <w:r>
              <w:rPr>
                <w:rFonts w:ascii="Times New Roman" w:hAnsi="Times New Roman"/>
                <w:sz w:val="22"/>
              </w:rPr>
              <w:t>138</w:t>
            </w:r>
          </w:p>
        </w:tc>
        <w:tc>
          <w:tcPr>
            <w:tcW w:type="dxa" w:w="4309"/>
          </w:tcPr>
          <w:p>
            <w:pPr>
              <w:keepNext/>
              <w:spacing w:line="240" w:lineRule="auto" w:after="0"/>
              <w:ind w:firstLine="0"/>
            </w:pPr>
            <w:r/>
            <w:r>
              <w:rPr>
                <w:rFonts w:ascii="Times New Roman" w:hAnsi="Times New Roman"/>
                <w:sz w:val="22"/>
              </w:rPr>
              <w:t>Стек ядер 3×3, однорідна структура</w:t>
            </w:r>
          </w:p>
        </w:tc>
      </w:tr>
      <w:tr>
        <w:trPr>
          <w:cantSplit/>
        </w:trPr>
        <w:tc>
          <w:tcPr>
            <w:tcW w:type="dxa" w:w="2381"/>
          </w:tcPr>
          <w:p>
            <w:pPr>
              <w:keepNext/>
              <w:spacing w:line="240" w:lineRule="auto" w:after="0"/>
              <w:ind w:firstLine="0"/>
            </w:pPr>
            <w:r/>
            <w:r>
              <w:rPr>
                <w:rFonts w:ascii="Times New Roman" w:hAnsi="Times New Roman"/>
                <w:sz w:val="22"/>
              </w:rPr>
              <w:t>ResNet-50</w:t>
            </w:r>
          </w:p>
        </w:tc>
        <w:tc>
          <w:tcPr>
            <w:tcW w:type="dxa" w:w="1134"/>
          </w:tcPr>
          <w:p>
            <w:pPr>
              <w:keepNext/>
              <w:spacing w:line="240" w:lineRule="auto" w:after="0"/>
              <w:ind w:firstLine="0"/>
            </w:pPr>
            <w:r/>
            <w:r>
              <w:rPr>
                <w:rFonts w:ascii="Times New Roman" w:hAnsi="Times New Roman"/>
                <w:sz w:val="22"/>
              </w:rPr>
              <w:t>2015</w:t>
            </w:r>
          </w:p>
        </w:tc>
        <w:tc>
          <w:tcPr>
            <w:tcW w:type="dxa" w:w="1814"/>
          </w:tcPr>
          <w:p>
            <w:pPr>
              <w:keepNext/>
              <w:spacing w:line="240" w:lineRule="auto" w:after="0"/>
              <w:ind w:firstLine="0"/>
            </w:pPr>
            <w:r/>
            <w:r>
              <w:rPr>
                <w:rFonts w:ascii="Times New Roman" w:hAnsi="Times New Roman"/>
                <w:sz w:val="22"/>
              </w:rPr>
              <w:t>25,6</w:t>
            </w:r>
          </w:p>
        </w:tc>
        <w:tc>
          <w:tcPr>
            <w:tcW w:type="dxa" w:w="4309"/>
          </w:tcPr>
          <w:p>
            <w:pPr>
              <w:keepNext/>
              <w:spacing w:line="240" w:lineRule="auto" w:after="0"/>
              <w:ind w:firstLine="0"/>
            </w:pPr>
            <w:r/>
            <w:r>
              <w:rPr>
                <w:rFonts w:ascii="Times New Roman" w:hAnsi="Times New Roman"/>
                <w:sz w:val="22"/>
              </w:rPr>
              <w:t>Залишкові з'єднання</w:t>
            </w:r>
          </w:p>
        </w:tc>
      </w:tr>
      <w:tr>
        <w:trPr>
          <w:cantSplit/>
        </w:trPr>
        <w:tc>
          <w:tcPr>
            <w:tcW w:type="dxa" w:w="2381"/>
          </w:tcPr>
          <w:p>
            <w:pPr>
              <w:keepNext/>
              <w:spacing w:line="240" w:lineRule="auto" w:after="0"/>
              <w:ind w:firstLine="0"/>
            </w:pPr>
            <w:r/>
            <w:r>
              <w:rPr>
                <w:rFonts w:ascii="Times New Roman" w:hAnsi="Times New Roman"/>
                <w:sz w:val="22"/>
              </w:rPr>
              <w:t>DenseNet-121</w:t>
            </w:r>
          </w:p>
        </w:tc>
        <w:tc>
          <w:tcPr>
            <w:tcW w:type="dxa" w:w="1134"/>
          </w:tcPr>
          <w:p>
            <w:pPr>
              <w:keepNext/>
              <w:spacing w:line="240" w:lineRule="auto" w:after="0"/>
              <w:ind w:firstLine="0"/>
            </w:pPr>
            <w:r/>
            <w:r>
              <w:rPr>
                <w:rFonts w:ascii="Times New Roman" w:hAnsi="Times New Roman"/>
                <w:sz w:val="22"/>
              </w:rPr>
              <w:t>2017</w:t>
            </w:r>
          </w:p>
        </w:tc>
        <w:tc>
          <w:tcPr>
            <w:tcW w:type="dxa" w:w="1814"/>
          </w:tcPr>
          <w:p>
            <w:pPr>
              <w:keepNext/>
              <w:spacing w:line="240" w:lineRule="auto" w:after="0"/>
              <w:ind w:firstLine="0"/>
            </w:pPr>
            <w:r/>
            <w:r>
              <w:rPr>
                <w:rFonts w:ascii="Times New Roman" w:hAnsi="Times New Roman"/>
                <w:sz w:val="22"/>
              </w:rPr>
              <w:t>8,0</w:t>
            </w:r>
          </w:p>
        </w:tc>
        <w:tc>
          <w:tcPr>
            <w:tcW w:type="dxa" w:w="4309"/>
          </w:tcPr>
          <w:p>
            <w:pPr>
              <w:keepNext/>
              <w:spacing w:line="240" w:lineRule="auto" w:after="0"/>
              <w:ind w:firstLine="0"/>
            </w:pPr>
            <w:r/>
            <w:r>
              <w:rPr>
                <w:rFonts w:ascii="Times New Roman" w:hAnsi="Times New Roman"/>
                <w:sz w:val="22"/>
              </w:rPr>
              <w:t>Щільні з'єднання між шарами</w:t>
            </w:r>
          </w:p>
        </w:tc>
      </w:tr>
      <w:tr>
        <w:trPr>
          <w:cantSplit/>
        </w:trPr>
        <w:tc>
          <w:tcPr>
            <w:tcW w:type="dxa" w:w="2381"/>
          </w:tcPr>
          <w:p>
            <w:pPr>
              <w:keepNext/>
              <w:spacing w:line="240" w:lineRule="auto" w:after="0"/>
              <w:ind w:firstLine="0"/>
            </w:pPr>
            <w:r/>
            <w:r>
              <w:rPr>
                <w:rFonts w:ascii="Times New Roman" w:hAnsi="Times New Roman"/>
                <w:sz w:val="22"/>
              </w:rPr>
              <w:t>MobileNetV2</w:t>
            </w:r>
          </w:p>
        </w:tc>
        <w:tc>
          <w:tcPr>
            <w:tcW w:type="dxa" w:w="1134"/>
          </w:tcPr>
          <w:p>
            <w:pPr>
              <w:keepNext/>
              <w:spacing w:line="240" w:lineRule="auto" w:after="0"/>
              <w:ind w:firstLine="0"/>
            </w:pPr>
            <w:r/>
            <w:r>
              <w:rPr>
                <w:rFonts w:ascii="Times New Roman" w:hAnsi="Times New Roman"/>
                <w:sz w:val="22"/>
              </w:rPr>
              <w:t>2018</w:t>
            </w:r>
          </w:p>
        </w:tc>
        <w:tc>
          <w:tcPr>
            <w:tcW w:type="dxa" w:w="1814"/>
          </w:tcPr>
          <w:p>
            <w:pPr>
              <w:keepNext/>
              <w:spacing w:line="240" w:lineRule="auto" w:after="0"/>
              <w:ind w:firstLine="0"/>
            </w:pPr>
            <w:r/>
            <w:r>
              <w:rPr>
                <w:rFonts w:ascii="Times New Roman" w:hAnsi="Times New Roman"/>
                <w:sz w:val="22"/>
              </w:rPr>
              <w:t>3,5</w:t>
            </w:r>
          </w:p>
        </w:tc>
        <w:tc>
          <w:tcPr>
            <w:tcW w:type="dxa" w:w="4309"/>
          </w:tcPr>
          <w:p>
            <w:pPr>
              <w:keepNext/>
              <w:spacing w:line="240" w:lineRule="auto" w:after="0"/>
              <w:ind w:firstLine="0"/>
            </w:pPr>
            <w:r/>
            <w:r>
              <w:rPr>
                <w:rFonts w:ascii="Times New Roman" w:hAnsi="Times New Roman"/>
                <w:sz w:val="22"/>
              </w:rPr>
              <w:t>Роздільні за глибиною згортки</w:t>
            </w:r>
          </w:p>
        </w:tc>
      </w:tr>
      <w:tr>
        <w:trPr>
          <w:cantSplit/>
        </w:trPr>
        <w:tc>
          <w:tcPr>
            <w:tcW w:type="dxa" w:w="2381"/>
          </w:tcPr>
          <w:p>
            <w:pPr>
              <w:spacing w:line="240" w:lineRule="auto" w:after="0"/>
              <w:ind w:firstLine="0"/>
            </w:pPr>
            <w:r/>
            <w:r>
              <w:rPr>
                <w:rFonts w:ascii="Times New Roman" w:hAnsi="Times New Roman"/>
                <w:sz w:val="22"/>
              </w:rPr>
              <w:t>EfficientNet-B0</w:t>
            </w:r>
          </w:p>
        </w:tc>
        <w:tc>
          <w:tcPr>
            <w:tcW w:type="dxa" w:w="1134"/>
          </w:tcPr>
          <w:p>
            <w:pPr>
              <w:spacing w:line="240" w:lineRule="auto" w:after="0"/>
              <w:ind w:firstLine="0"/>
            </w:pPr>
            <w:r/>
            <w:r>
              <w:rPr>
                <w:rFonts w:ascii="Times New Roman" w:hAnsi="Times New Roman"/>
                <w:sz w:val="22"/>
              </w:rPr>
              <w:t>2019</w:t>
            </w:r>
          </w:p>
        </w:tc>
        <w:tc>
          <w:tcPr>
            <w:tcW w:type="dxa" w:w="1814"/>
          </w:tcPr>
          <w:p>
            <w:pPr>
              <w:spacing w:line="240" w:lineRule="auto" w:after="0"/>
              <w:ind w:firstLine="0"/>
            </w:pPr>
            <w:r/>
            <w:r>
              <w:rPr>
                <w:rFonts w:ascii="Times New Roman" w:hAnsi="Times New Roman"/>
                <w:sz w:val="22"/>
              </w:rPr>
              <w:t>5,3</w:t>
            </w:r>
          </w:p>
        </w:tc>
        <w:tc>
          <w:tcPr>
            <w:tcW w:type="dxa" w:w="4309"/>
          </w:tcPr>
          <w:p>
            <w:pPr>
              <w:spacing w:line="240" w:lineRule="auto" w:after="0"/>
              <w:ind w:firstLine="0"/>
            </w:pPr>
            <w:r/>
            <w:r>
              <w:rPr>
                <w:rFonts w:ascii="Times New Roman" w:hAnsi="Times New Roman"/>
                <w:sz w:val="22"/>
              </w:rPr>
              <w:t>Узгоджене масштабування мережі</w:t>
            </w:r>
          </w:p>
        </w:tc>
      </w:tr>
    </w:tbl>
    <w:p>
      <w:pPr>
        <w:spacing w:after="120"/>
        <w:ind w:firstLine="0"/>
        <w:jc w:val="both"/>
      </w:pPr>
      <w:r>
        <w:rPr>
          <w:rFonts w:ascii="Times New Roman" w:hAnsi="Times New Roman"/>
          <w:b w:val="0"/>
          <w:i w:val="0"/>
        </w:rPr>
      </w:r>
    </w:p>
    <w:p>
      <w:pPr>
        <w:spacing w:after="0"/>
        <w:ind w:firstLine="850"/>
        <w:jc w:val="both"/>
      </w:pPr>
      <w:r>
        <w:rPr>
          <w:rFonts w:ascii="Times New Roman" w:hAnsi="Times New Roman"/>
          <w:b w:val="0"/>
          <w:i w:val="0"/>
        </w:rPr>
        <w:t>Для цієї роботи з наведеного огляду важливий не абсолютний рейтинг архітектур, а набір конструктивних принципів, які можна застосувати під час проєктування власної мережі: стек ядер 3×3 замість великих ядер, обов'язкова пакетна нормалізація, глобальне усереднення замість масивного повнозв'язного класифікатора та контрольоване зростання кількості каналів у міру зменшення просторової роздільної здатності.</w:t>
      </w:r>
    </w:p>
    <w:p>
      <w:pPr>
        <w:keepNext/>
        <w:spacing w:after="120"/>
        <w:ind w:firstLine="850"/>
        <w:jc w:val="both"/>
      </w:pPr>
      <w:r>
        <w:rPr>
          <w:rFonts w:ascii="Times New Roman" w:hAnsi="Times New Roman"/>
          <w:b w:val="0"/>
          <w:i/>
        </w:rPr>
        <w:t>1.3.3. Огляд досліджень з виявлення пневмонії на рентгенограмах</w:t>
      </w:r>
    </w:p>
    <w:p>
      <w:pPr>
        <w:spacing w:after="0"/>
        <w:ind w:firstLine="850"/>
        <w:jc w:val="both"/>
      </w:pPr>
      <w:r>
        <w:rPr>
          <w:rFonts w:ascii="Times New Roman" w:hAnsi="Times New Roman"/>
          <w:b w:val="0"/>
          <w:i w:val="0"/>
        </w:rPr>
        <w:t>Систематичне застосування глибинного навчання до CXR стало можливим після появи великих відкритих наборів даних. Набір ChestX-ray8, згодом розширений до ChestX-ray14, містить 112 120 фронтальних знімків 30 805 пацієнтів з мітками чотирнадцяти патологічних станів, отриманими автоматичним аналізом текстів рентгенологічних висновків [27]. На цьому наборі була побудована модель CheXNet на основі архітектури DenseNet-121, для якої автори повідомили про значення F1-міри для класу «пневмонія» на рівні 0,435 проти 0,387 у групи практикуючих рентгенологів [28]. Подальшим розвитком стали набори CheXpert (224 316 знімків 65 240 пацієнтів) [29] та MIMIC-CXR (377 110 знімків) [30], у яких окремо кодується категорія невизначеної мітки.</w:t>
      </w:r>
    </w:p>
    <w:p>
      <w:pPr>
        <w:spacing w:after="0"/>
        <w:ind w:firstLine="850"/>
        <w:jc w:val="both"/>
      </w:pPr>
      <w:r>
        <w:rPr>
          <w:rFonts w:ascii="Times New Roman" w:hAnsi="Times New Roman"/>
          <w:b w:val="0"/>
          <w:i w:val="0"/>
        </w:rPr>
        <w:t>Спеціально для задачі виявлення пневмонії Радіологічне товариство Північної Америки організувало у 2018 році змагання RSNA Pneumonia Detection Challenge. Його набір даних сформовано з підмножини ChestX-ray14, повторно розміченої групою сертифікованих рентгенологів: для кожного знімка вказано належність до одного з трьох класів — «Lung Opacity», «Normal» та «No Lung Opacity / Not Normal», а для позитивних випадків додатково наведено обмежувальні прямокутники ділянок затемнення [31]. Саме подвійна розмітка негативного класу є методологічно цінною: вона дає змогу окремо оцінити, чи відрізняє модель патологію від норми і чи відрізняє вона конкретно пневмонічне затемнення від інших відхилень.</w:t>
      </w:r>
    </w:p>
    <w:p>
      <w:pPr>
        <w:spacing w:after="0"/>
        <w:ind w:firstLine="850"/>
        <w:jc w:val="both"/>
      </w:pPr>
      <w:r>
        <w:rPr>
          <w:rFonts w:ascii="Times New Roman" w:hAnsi="Times New Roman"/>
          <w:b w:val="0"/>
          <w:i w:val="0"/>
        </w:rPr>
        <w:t>Окремо слід згадати набір педіатричних знімків [32], який широко використовується в навчальних роботах, проте має суттєве обмеження: він містить лише два різко розділені класи і зібраний в одному медичному центрі, через що моделі демонструють на ньому неправдоподібно високі показники, які не відтворюються на зовнішніх даних. Ця проблема має загальний характер: у дослідженні [33] показано, що модель, навчена на даних одного закладу, може частково спиратися не на медичний зміст зображення, а на апаратні особливості знімання, і її якість суттєво знижується під час перенесення на інший заклад. Практичний висновок для цієї роботи полягає у виборі багатоцентрового набору даних та у поділі вибірки на рівні пацієнта, а не на рівні окремих знімків.</w:t>
      </w:r>
    </w:p>
    <w:p>
      <w:pPr>
        <w:keepNext/>
        <w:spacing w:after="120"/>
        <w:ind w:firstLine="850"/>
        <w:jc w:val="both"/>
      </w:pPr>
      <w:r>
        <w:rPr>
          <w:rFonts w:ascii="Times New Roman" w:hAnsi="Times New Roman"/>
          <w:b w:val="0"/>
          <w:i/>
        </w:rPr>
        <w:t>1.3.4. Трансферне навчання проти навчання з нуля</w:t>
      </w:r>
    </w:p>
    <w:p>
      <w:pPr>
        <w:spacing w:after="0"/>
        <w:ind w:firstLine="850"/>
        <w:jc w:val="both"/>
      </w:pPr>
      <w:r>
        <w:rPr>
          <w:rFonts w:ascii="Times New Roman" w:hAnsi="Times New Roman"/>
          <w:b w:val="0"/>
          <w:i w:val="0"/>
        </w:rPr>
        <w:t>Переважна більшість опублікованих рішень для CXR використовує трансферне навчання: велику архітектуру, попередньо навчену на наборі природних зображень ImageNet, донавчають на медичних даних. Такий підхід є зручним, але має низку недоліків, критичних саме для кваліфікаційної роботи. Попередньо навчені моделі розраховані на тривимірний кольоровий вхід, що змушує штучно дублювати одноканальне рентгенівське зображення у три канали; вони містять десятки мільйонів параметрів, надлишкових для бінарної задачі; нарешті, вони не є власним науковим результатом автора.</w:t>
      </w:r>
    </w:p>
    <w:p>
      <w:pPr>
        <w:spacing w:after="0"/>
        <w:ind w:firstLine="850"/>
        <w:jc w:val="both"/>
      </w:pPr>
      <w:r>
        <w:rPr>
          <w:rFonts w:ascii="Times New Roman" w:hAnsi="Times New Roman"/>
          <w:b w:val="0"/>
          <w:i w:val="0"/>
        </w:rPr>
        <w:t>Емпіричним обґрунтуванням альтернативи є дослідження [34], у якому систематично порівняно трансферне навчання та навчання з нуля на медичних зображеннях. Автори показали, що для медичних задач виграш від попереднього навчання на ImageNet є значно меншим, ніж прийнято вважати, і що компактні архітектури, спроєктовані безпосередньо під конкретну задачу та навчені з нуля, досягають співставної якості за суттєво меншої кількості параметрів. Саме цей результат є науковим підґрунтям обраного у роботі рішення — розробити власну згорткову архітектуру, орієнтовану на одноканальний вхід та бінарну класифікацію, і навчити її з нуля.</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1.4. Інтерпретованість моделей глибинного навчання в медичній діагностиці</w:t>
      </w:r>
    </w:p>
    <w:p>
      <w:pPr>
        <w:spacing w:after="0"/>
        <w:ind w:firstLine="850"/>
        <w:jc w:val="both"/>
      </w:pPr>
      <w:r>
        <w:rPr>
          <w:rFonts w:ascii="Times New Roman" w:hAnsi="Times New Roman"/>
          <w:b w:val="0"/>
          <w:i w:val="0"/>
        </w:rPr>
        <w:t>Ключовою перешкодою для впровадження нейромережевих моделей у клінічну практику є їхня непрозорість. Лікар не може взяти на себе відповідальність за рішення, обґрунтування якого недоступне, тому будь-яка практично придатна система підтримки діагностики має супроводжувати числовий прогноз просторовим поясненням — вказівкою на ділянки зображення, що визначили результат [35].</w:t>
      </w:r>
    </w:p>
    <w:p>
      <w:pPr>
        <w:spacing w:after="0"/>
        <w:ind w:firstLine="850"/>
        <w:jc w:val="both"/>
      </w:pPr>
      <w:r>
        <w:rPr>
          <w:rFonts w:ascii="Times New Roman" w:hAnsi="Times New Roman"/>
          <w:b w:val="0"/>
          <w:i w:val="0"/>
        </w:rPr>
        <w:t>Метод карт активації класів (Class Activation Mapping, CAM) запропоновано для архітектур, у яких останній згортковий шар з'єднаний з класифікатором через глобальне усереднення [36]. Оскільки кожна компонента вектора ознак у такій схемі є середнім значенням відповідної карти ознак, ваги класифікатора можна інтерпретувати безпосередньо як міру важливості цієї карти для класу. Карта активації обчислюється як зважена сума карт ознак останнього згорткового шару:</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M(i, j) = ReLU( Σ(k=1..K) w_k · A_k(i, j) ) / max( Σ(k) w_k · A_k )</w:t>
        <w:tab/>
        <w:t>(1.7)</w:t>
      </w:r>
    </w:p>
    <w:p>
      <w:pPr>
        <w:spacing w:after="0" w:line="360" w:lineRule="auto"/>
        <w:ind w:firstLine="0"/>
      </w:pPr>
    </w:p>
    <w:p>
      <w:pPr>
        <w:spacing w:after="0"/>
        <w:ind w:firstLine="0"/>
        <w:jc w:val="both"/>
      </w:pPr>
      <w:r>
        <w:rPr>
          <w:rFonts w:ascii="Times New Roman" w:hAnsi="Times New Roman"/>
          <w:b w:val="0"/>
          <w:i w:val="0"/>
        </w:rPr>
        <w:t>де</w:t>
      </w:r>
    </w:p>
    <w:p>
      <w:pPr>
        <w:spacing w:after="0"/>
        <w:ind w:firstLine="0" w:left="850"/>
        <w:jc w:val="both"/>
      </w:pPr>
      <w:r>
        <w:rPr>
          <w:rFonts w:ascii="Times New Roman" w:hAnsi="Times New Roman"/>
          <w:b w:val="0"/>
          <w:i w:val="0"/>
        </w:rPr>
        <w:t>A_k(i, j) — значення k-ї карти ознак останнього згорткового шару;</w:t>
      </w:r>
    </w:p>
    <w:p>
      <w:pPr>
        <w:spacing w:after="0"/>
        <w:ind w:firstLine="0" w:left="850"/>
        <w:jc w:val="both"/>
      </w:pPr>
      <w:r>
        <w:rPr>
          <w:rFonts w:ascii="Times New Roman" w:hAnsi="Times New Roman"/>
          <w:b w:val="0"/>
          <w:i w:val="0"/>
        </w:rPr>
        <w:t>w_k — вага k-ї ознаки у вихідному класифікаторі;</w:t>
      </w:r>
    </w:p>
    <w:p>
      <w:pPr>
        <w:spacing w:after="0"/>
        <w:ind w:firstLine="0" w:left="850"/>
        <w:jc w:val="both"/>
      </w:pPr>
      <w:r>
        <w:rPr>
          <w:rFonts w:ascii="Times New Roman" w:hAnsi="Times New Roman"/>
          <w:b w:val="0"/>
          <w:i w:val="0"/>
        </w:rPr>
        <w:t>K — кількість карт ознак;</w:t>
      </w:r>
    </w:p>
    <w:p>
      <w:pPr>
        <w:spacing w:after="0"/>
        <w:ind w:firstLine="0" w:left="850"/>
        <w:jc w:val="both"/>
      </w:pPr>
      <w:r>
        <w:rPr>
          <w:rFonts w:ascii="Times New Roman" w:hAnsi="Times New Roman"/>
          <w:b w:val="0"/>
          <w:i w:val="0"/>
        </w:rPr>
        <w:t>M(i, j) — нормоване значення карти активації, що після білінійного збільшення накладається на вихідний знімок.</w:t>
      </w:r>
    </w:p>
    <w:p>
      <w:pPr>
        <w:spacing w:after="0"/>
        <w:ind w:firstLine="850"/>
        <w:jc w:val="both"/>
      </w:pPr>
      <w:r>
        <w:rPr>
          <w:rFonts w:ascii="Times New Roman" w:hAnsi="Times New Roman"/>
          <w:b w:val="0"/>
          <w:i w:val="0"/>
        </w:rPr>
        <w:t>Схему обчислення карти активації класу наведено на рис. 1.3.</w:t>
      </w:r>
    </w:p>
    <w:p>
      <w:pPr>
        <w:keepNext/>
        <w:spacing w:before="120"/>
        <w:ind w:firstLine="0"/>
        <w:jc w:val="center"/>
      </w:pPr>
      <w:r>
        <w:drawing>
          <wp:inline xmlns:a="http://schemas.openxmlformats.org/drawingml/2006/main" xmlns:pic="http://schemas.openxmlformats.org/drawingml/2006/picture">
            <wp:extent cx="5580000" cy="2068683"/>
            <wp:docPr id="3" name="Picture 3"/>
            <wp:cNvGraphicFramePr>
              <a:graphicFrameLocks noChangeAspect="1"/>
            </wp:cNvGraphicFramePr>
            <a:graphic>
              <a:graphicData uri="http://schemas.openxmlformats.org/drawingml/2006/picture">
                <pic:pic>
                  <pic:nvPicPr>
                    <pic:cNvPr id="0" name="fig_1_3_cam.png"/>
                    <pic:cNvPicPr/>
                  </pic:nvPicPr>
                  <pic:blipFill>
                    <a:blip r:embed="rId12"/>
                    <a:stretch>
                      <a:fillRect/>
                    </a:stretch>
                  </pic:blipFill>
                  <pic:spPr>
                    <a:xfrm>
                      <a:off x="0" y="0"/>
                      <a:ext cx="5580000" cy="2068683"/>
                    </a:xfrm>
                    <a:prstGeom prst="rect"/>
                  </pic:spPr>
                </pic:pic>
              </a:graphicData>
            </a:graphic>
          </wp:inline>
        </w:drawing>
      </w:r>
    </w:p>
    <w:p>
      <w:pPr>
        <w:spacing w:after="200" w:line="240" w:lineRule="auto"/>
        <w:ind w:firstLine="0"/>
        <w:jc w:val="center"/>
      </w:pPr>
      <w:r>
        <w:rPr>
          <w:rFonts w:ascii="Times New Roman" w:hAnsi="Times New Roman"/>
          <w:b w:val="0"/>
          <w:i w:val="0"/>
          <w:sz w:val="26"/>
        </w:rPr>
        <w:t>Рис. 1.3. Принцип побудови карти активації класу (CAM)</w:t>
      </w:r>
    </w:p>
    <w:p>
      <w:pPr>
        <w:spacing w:after="0"/>
        <w:ind w:firstLine="850"/>
        <w:jc w:val="both"/>
      </w:pPr>
      <w:r>
        <w:rPr>
          <w:rFonts w:ascii="Times New Roman" w:hAnsi="Times New Roman"/>
          <w:b w:val="0"/>
          <w:i w:val="0"/>
        </w:rPr>
        <w:t>Узагальненням методу є Grad-CAM [37], у якому ваги обчислюються як усереднені градієнти цільового виходу за картами ознак, що знімає вимогу щодо наявності шару глобального усереднення та дозволяє застосовувати метод до довільних архітектур. Альтернативні підходи — LIME [38], що будує локальну лінійну апроксимацію моделі на основі збурень вхідного зображення, та SHAP [39], що спирається на значення Шеплі з теорії кооперативних ігор, — є модельно-незалежними, проте потребують багаторазового виконання моделі й тому погано сумісні з роботою на мобільному пристрої. Порівняння методів наведено у табл. 1.3.</w:t>
      </w:r>
    </w:p>
    <w:p>
      <w:pPr>
        <w:keepNext/>
        <w:spacing w:after="0" w:line="240" w:lineRule="auto"/>
        <w:ind w:firstLine="0"/>
        <w:jc w:val="right"/>
      </w:pPr>
      <w:r>
        <w:rPr>
          <w:rFonts w:ascii="Times New Roman" w:hAnsi="Times New Roman"/>
          <w:b w:val="0"/>
          <w:i w:val="0"/>
          <w:sz w:val="26"/>
        </w:rPr>
        <w:t>Таблиця 1.3</w:t>
      </w:r>
    </w:p>
    <w:p>
      <w:pPr>
        <w:keepNext/>
        <w:spacing w:after="80" w:line="240" w:lineRule="auto"/>
        <w:ind w:firstLine="0"/>
        <w:jc w:val="center"/>
      </w:pPr>
      <w:r>
        <w:rPr>
          <w:rFonts w:ascii="Times New Roman" w:hAnsi="Times New Roman"/>
          <w:b/>
          <w:i w:val="0"/>
          <w:sz w:val="26"/>
        </w:rPr>
        <w:t>Порівняння методів інтерпретації моделей класифікації зображень</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1587"/>
          </w:tcPr>
          <w:p>
            <w:pPr>
              <w:keepNext/>
              <w:spacing w:line="240" w:lineRule="auto" w:after="0"/>
              <w:ind w:firstLine="0"/>
              <w:jc w:val="center"/>
            </w:pPr>
            <w:r/>
            <w:r>
              <w:rPr>
                <w:rFonts w:ascii="Times New Roman" w:hAnsi="Times New Roman"/>
                <w:b/>
                <w:sz w:val="22"/>
              </w:rPr>
              <w:t>Метод</w:t>
            </w:r>
          </w:p>
        </w:tc>
        <w:tc>
          <w:tcPr>
            <w:tcW w:type="dxa" w:w="2608"/>
          </w:tcPr>
          <w:p>
            <w:pPr>
              <w:keepNext/>
              <w:spacing w:line="240" w:lineRule="auto" w:after="0"/>
              <w:ind w:firstLine="0"/>
              <w:jc w:val="center"/>
            </w:pPr>
            <w:r/>
            <w:r>
              <w:rPr>
                <w:rFonts w:ascii="Times New Roman" w:hAnsi="Times New Roman"/>
                <w:b/>
                <w:sz w:val="22"/>
              </w:rPr>
              <w:t>Вимоги до архітектури</w:t>
            </w:r>
          </w:p>
        </w:tc>
        <w:tc>
          <w:tcPr>
            <w:tcW w:type="dxa" w:w="2494"/>
          </w:tcPr>
          <w:p>
            <w:pPr>
              <w:keepNext/>
              <w:spacing w:line="240" w:lineRule="auto" w:after="0"/>
              <w:ind w:firstLine="0"/>
              <w:jc w:val="center"/>
            </w:pPr>
            <w:r/>
            <w:r>
              <w:rPr>
                <w:rFonts w:ascii="Times New Roman" w:hAnsi="Times New Roman"/>
                <w:b/>
                <w:sz w:val="22"/>
              </w:rPr>
              <w:t>Обчислювальні витрати</w:t>
            </w:r>
          </w:p>
        </w:tc>
        <w:tc>
          <w:tcPr>
            <w:tcW w:type="dxa" w:w="2948"/>
          </w:tcPr>
          <w:p>
            <w:pPr>
              <w:keepNext/>
              <w:spacing w:line="240" w:lineRule="auto" w:after="0"/>
              <w:ind w:firstLine="0"/>
              <w:jc w:val="center"/>
            </w:pPr>
            <w:r/>
            <w:r>
              <w:rPr>
                <w:rFonts w:ascii="Times New Roman" w:hAnsi="Times New Roman"/>
                <w:b/>
                <w:sz w:val="22"/>
              </w:rPr>
              <w:t>Придатність для мобільного застосування</w:t>
            </w:r>
          </w:p>
        </w:tc>
      </w:tr>
      <w:tr>
        <w:trPr>
          <w:cantSplit/>
        </w:trPr>
        <w:tc>
          <w:tcPr>
            <w:tcW w:type="dxa" w:w="1587"/>
          </w:tcPr>
          <w:p>
            <w:pPr>
              <w:keepNext/>
              <w:spacing w:line="240" w:lineRule="auto" w:after="0"/>
              <w:ind w:firstLine="0"/>
            </w:pPr>
            <w:r/>
            <w:r>
              <w:rPr>
                <w:rFonts w:ascii="Times New Roman" w:hAnsi="Times New Roman"/>
                <w:sz w:val="22"/>
              </w:rPr>
              <w:t>CAM</w:t>
            </w:r>
          </w:p>
        </w:tc>
        <w:tc>
          <w:tcPr>
            <w:tcW w:type="dxa" w:w="2608"/>
          </w:tcPr>
          <w:p>
            <w:pPr>
              <w:keepNext/>
              <w:spacing w:line="240" w:lineRule="auto" w:after="0"/>
              <w:ind w:firstLine="0"/>
            </w:pPr>
            <w:r/>
            <w:r>
              <w:rPr>
                <w:rFonts w:ascii="Times New Roman" w:hAnsi="Times New Roman"/>
                <w:sz w:val="22"/>
              </w:rPr>
              <w:t>Наявність шару GAP перед класифікатором</w:t>
            </w:r>
          </w:p>
        </w:tc>
        <w:tc>
          <w:tcPr>
            <w:tcW w:type="dxa" w:w="2494"/>
          </w:tcPr>
          <w:p>
            <w:pPr>
              <w:keepNext/>
              <w:spacing w:line="240" w:lineRule="auto" w:after="0"/>
              <w:ind w:firstLine="0"/>
            </w:pPr>
            <w:r/>
            <w:r>
              <w:rPr>
                <w:rFonts w:ascii="Times New Roman" w:hAnsi="Times New Roman"/>
                <w:sz w:val="22"/>
              </w:rPr>
              <w:t>Один прямий прохід</w:t>
            </w:r>
          </w:p>
        </w:tc>
        <w:tc>
          <w:tcPr>
            <w:tcW w:type="dxa" w:w="2948"/>
          </w:tcPr>
          <w:p>
            <w:pPr>
              <w:keepNext/>
              <w:spacing w:line="240" w:lineRule="auto" w:after="0"/>
              <w:ind w:firstLine="0"/>
            </w:pPr>
            <w:r/>
            <w:r>
              <w:rPr>
                <w:rFonts w:ascii="Times New Roman" w:hAnsi="Times New Roman"/>
                <w:sz w:val="22"/>
              </w:rPr>
              <w:t>Висока</w:t>
            </w:r>
          </w:p>
        </w:tc>
      </w:tr>
      <w:tr>
        <w:trPr>
          <w:cantSplit/>
        </w:trPr>
        <w:tc>
          <w:tcPr>
            <w:tcW w:type="dxa" w:w="1587"/>
          </w:tcPr>
          <w:p>
            <w:pPr>
              <w:keepNext/>
              <w:spacing w:line="240" w:lineRule="auto" w:after="0"/>
              <w:ind w:firstLine="0"/>
            </w:pPr>
            <w:r/>
            <w:r>
              <w:rPr>
                <w:rFonts w:ascii="Times New Roman" w:hAnsi="Times New Roman"/>
                <w:sz w:val="22"/>
              </w:rPr>
              <w:t>Grad-CAM</w:t>
            </w:r>
          </w:p>
        </w:tc>
        <w:tc>
          <w:tcPr>
            <w:tcW w:type="dxa" w:w="2608"/>
          </w:tcPr>
          <w:p>
            <w:pPr>
              <w:keepNext/>
              <w:spacing w:line="240" w:lineRule="auto" w:after="0"/>
              <w:ind w:firstLine="0"/>
            </w:pPr>
            <w:r/>
            <w:r>
              <w:rPr>
                <w:rFonts w:ascii="Times New Roman" w:hAnsi="Times New Roman"/>
                <w:sz w:val="22"/>
              </w:rPr>
              <w:t>Довільна</w:t>
            </w:r>
          </w:p>
        </w:tc>
        <w:tc>
          <w:tcPr>
            <w:tcW w:type="dxa" w:w="2494"/>
          </w:tcPr>
          <w:p>
            <w:pPr>
              <w:keepNext/>
              <w:spacing w:line="240" w:lineRule="auto" w:after="0"/>
              <w:ind w:firstLine="0"/>
            </w:pPr>
            <w:r/>
            <w:r>
              <w:rPr>
                <w:rFonts w:ascii="Times New Roman" w:hAnsi="Times New Roman"/>
                <w:sz w:val="22"/>
              </w:rPr>
              <w:t>Прямий та зворотний прохід</w:t>
            </w:r>
          </w:p>
        </w:tc>
        <w:tc>
          <w:tcPr>
            <w:tcW w:type="dxa" w:w="2948"/>
          </w:tcPr>
          <w:p>
            <w:pPr>
              <w:keepNext/>
              <w:spacing w:line="240" w:lineRule="auto" w:after="0"/>
              <w:ind w:firstLine="0"/>
            </w:pPr>
            <w:r/>
            <w:r>
              <w:rPr>
                <w:rFonts w:ascii="Times New Roman" w:hAnsi="Times New Roman"/>
                <w:sz w:val="22"/>
              </w:rPr>
              <w:t>Обмежена: потрібен градієнт</w:t>
            </w:r>
          </w:p>
        </w:tc>
      </w:tr>
      <w:tr>
        <w:trPr>
          <w:cantSplit/>
        </w:trPr>
        <w:tc>
          <w:tcPr>
            <w:tcW w:type="dxa" w:w="1587"/>
          </w:tcPr>
          <w:p>
            <w:pPr>
              <w:keepNext/>
              <w:spacing w:line="240" w:lineRule="auto" w:after="0"/>
              <w:ind w:firstLine="0"/>
            </w:pPr>
            <w:r/>
            <w:r>
              <w:rPr>
                <w:rFonts w:ascii="Times New Roman" w:hAnsi="Times New Roman"/>
                <w:sz w:val="22"/>
              </w:rPr>
              <w:t>LIME</w:t>
            </w:r>
          </w:p>
        </w:tc>
        <w:tc>
          <w:tcPr>
            <w:tcW w:type="dxa" w:w="2608"/>
          </w:tcPr>
          <w:p>
            <w:pPr>
              <w:keepNext/>
              <w:spacing w:line="240" w:lineRule="auto" w:after="0"/>
              <w:ind w:firstLine="0"/>
            </w:pPr>
            <w:r/>
            <w:r>
              <w:rPr>
                <w:rFonts w:ascii="Times New Roman" w:hAnsi="Times New Roman"/>
                <w:sz w:val="22"/>
              </w:rPr>
              <w:t>Довільна</w:t>
            </w:r>
          </w:p>
        </w:tc>
        <w:tc>
          <w:tcPr>
            <w:tcW w:type="dxa" w:w="2494"/>
          </w:tcPr>
          <w:p>
            <w:pPr>
              <w:keepNext/>
              <w:spacing w:line="240" w:lineRule="auto" w:after="0"/>
              <w:ind w:firstLine="0"/>
            </w:pPr>
            <w:r/>
            <w:r>
              <w:rPr>
                <w:rFonts w:ascii="Times New Roman" w:hAnsi="Times New Roman"/>
                <w:sz w:val="22"/>
              </w:rPr>
              <w:t>Сотні прямих проходів</w:t>
            </w:r>
          </w:p>
        </w:tc>
        <w:tc>
          <w:tcPr>
            <w:tcW w:type="dxa" w:w="2948"/>
          </w:tcPr>
          <w:p>
            <w:pPr>
              <w:keepNext/>
              <w:spacing w:line="240" w:lineRule="auto" w:after="0"/>
              <w:ind w:firstLine="0"/>
            </w:pPr>
            <w:r/>
            <w:r>
              <w:rPr>
                <w:rFonts w:ascii="Times New Roman" w:hAnsi="Times New Roman"/>
                <w:sz w:val="22"/>
              </w:rPr>
              <w:t>Низька</w:t>
            </w:r>
          </w:p>
        </w:tc>
      </w:tr>
      <w:tr>
        <w:trPr>
          <w:cantSplit/>
        </w:trPr>
        <w:tc>
          <w:tcPr>
            <w:tcW w:type="dxa" w:w="1587"/>
          </w:tcPr>
          <w:p>
            <w:pPr>
              <w:spacing w:line="240" w:lineRule="auto" w:after="0"/>
              <w:ind w:firstLine="0"/>
            </w:pPr>
            <w:r/>
            <w:r>
              <w:rPr>
                <w:rFonts w:ascii="Times New Roman" w:hAnsi="Times New Roman"/>
                <w:sz w:val="22"/>
              </w:rPr>
              <w:t>SHAP</w:t>
            </w:r>
          </w:p>
        </w:tc>
        <w:tc>
          <w:tcPr>
            <w:tcW w:type="dxa" w:w="2608"/>
          </w:tcPr>
          <w:p>
            <w:pPr>
              <w:spacing w:line="240" w:lineRule="auto" w:after="0"/>
              <w:ind w:firstLine="0"/>
            </w:pPr>
            <w:r/>
            <w:r>
              <w:rPr>
                <w:rFonts w:ascii="Times New Roman" w:hAnsi="Times New Roman"/>
                <w:sz w:val="22"/>
              </w:rPr>
              <w:t>Довільна</w:t>
            </w:r>
          </w:p>
        </w:tc>
        <w:tc>
          <w:tcPr>
            <w:tcW w:type="dxa" w:w="2494"/>
          </w:tcPr>
          <w:p>
            <w:pPr>
              <w:spacing w:line="240" w:lineRule="auto" w:after="0"/>
              <w:ind w:firstLine="0"/>
            </w:pPr>
            <w:r/>
            <w:r>
              <w:rPr>
                <w:rFonts w:ascii="Times New Roman" w:hAnsi="Times New Roman"/>
                <w:sz w:val="22"/>
              </w:rPr>
              <w:t>Сотні–тисячі прямих проходів</w:t>
            </w:r>
          </w:p>
        </w:tc>
        <w:tc>
          <w:tcPr>
            <w:tcW w:type="dxa" w:w="2948"/>
          </w:tcPr>
          <w:p>
            <w:pPr>
              <w:spacing w:line="240" w:lineRule="auto" w:after="0"/>
              <w:ind w:firstLine="0"/>
            </w:pPr>
            <w:r/>
            <w:r>
              <w:rPr>
                <w:rFonts w:ascii="Times New Roman" w:hAnsi="Times New Roman"/>
                <w:sz w:val="22"/>
              </w:rPr>
              <w:t>Низька</w:t>
            </w:r>
          </w:p>
        </w:tc>
      </w:tr>
    </w:tbl>
    <w:p>
      <w:pPr>
        <w:spacing w:after="120"/>
        <w:ind w:firstLine="0"/>
        <w:jc w:val="both"/>
      </w:pPr>
      <w:r>
        <w:rPr>
          <w:rFonts w:ascii="Times New Roman" w:hAnsi="Times New Roman"/>
          <w:b w:val="0"/>
          <w:i w:val="0"/>
        </w:rPr>
      </w:r>
    </w:p>
    <w:p>
      <w:pPr>
        <w:spacing w:after="0"/>
        <w:ind w:firstLine="850"/>
        <w:jc w:val="both"/>
      </w:pPr>
      <w:r>
        <w:rPr>
          <w:rFonts w:ascii="Times New Roman" w:hAnsi="Times New Roman"/>
          <w:b w:val="0"/>
          <w:i w:val="0"/>
        </w:rPr>
        <w:t>Слід зазначити, що інтерпретація не є доказом правильності. У порівняльному дослідженні методів візуального пояснення на рентгенограмах грудної клітки [40] показано, що теплові карти систематично поступаються розмітці рентгенологів за точністю локалізації, особливо для дифузних змін. Отже, теплова карта має розглядатися як засіб перевірки правдоподібності рішення моделі та як інструмент виявлення грубих артефактів навчання, а не як самостійний діагностичний висновок. Для цієї роботи наведене порівняння означає обґрунтований вибір саме методу CAM: він потребує одного прямого проходу, не вимагає обчислення градієнтів на пристрої й органічно поєднується з архітектурою, що вже містить шар глобального усереднення.</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1.5. Набори даних та метрики оцінювання якості</w:t>
      </w:r>
    </w:p>
    <w:p>
      <w:pPr>
        <w:spacing w:after="0"/>
        <w:ind w:firstLine="850"/>
        <w:jc w:val="both"/>
      </w:pPr>
      <w:r>
        <w:rPr>
          <w:rFonts w:ascii="Times New Roman" w:hAnsi="Times New Roman"/>
          <w:b w:val="0"/>
          <w:i w:val="0"/>
        </w:rPr>
        <w:t>Вибір набору даних є визначальним для достовірності результату. Основні відкриті набори рентгенограм грудної клітки зіставлено у табл. 1.4.</w:t>
      </w:r>
    </w:p>
    <w:p>
      <w:pPr>
        <w:keepNext/>
        <w:spacing w:after="0" w:line="240" w:lineRule="auto"/>
        <w:ind w:firstLine="0"/>
        <w:jc w:val="right"/>
      </w:pPr>
      <w:r>
        <w:rPr>
          <w:rFonts w:ascii="Times New Roman" w:hAnsi="Times New Roman"/>
          <w:b w:val="0"/>
          <w:i w:val="0"/>
          <w:sz w:val="26"/>
        </w:rPr>
        <w:t>Таблиця 1.4</w:t>
      </w:r>
    </w:p>
    <w:p>
      <w:pPr>
        <w:keepNext/>
        <w:spacing w:after="80" w:line="240" w:lineRule="auto"/>
        <w:ind w:firstLine="0"/>
        <w:jc w:val="center"/>
      </w:pPr>
      <w:r>
        <w:rPr>
          <w:rFonts w:ascii="Times New Roman" w:hAnsi="Times New Roman"/>
          <w:b/>
          <w:i w:val="0"/>
          <w:sz w:val="26"/>
        </w:rPr>
        <w:t>Відкриті набори даних рентгенограм органів грудної клітки</w:t>
      </w:r>
    </w:p>
    <w:tbl>
      <w:tblPr>
        <w:tblStyle w:val="TableGrid"/>
        <w:tblW w:type="auto" w:w="0"/>
        <w:tblLook w:firstColumn="1" w:firstRow="1" w:lastColumn="0" w:lastRow="0" w:noHBand="0" w:noVBand="1" w:val="04A0"/>
      </w:tblPr>
      <w:tblGrid>
        <w:gridCol w:w="1995"/>
        <w:gridCol w:w="1995"/>
        <w:gridCol w:w="1995"/>
        <w:gridCol w:w="1995"/>
        <w:gridCol w:w="1995"/>
      </w:tblGrid>
      <w:tr>
        <w:trPr>
          <w:tblHeader/>
          <w:cantSplit/>
        </w:trPr>
        <w:tc>
          <w:tcPr>
            <w:tcW w:type="dxa" w:w="2041"/>
          </w:tcPr>
          <w:p>
            <w:pPr>
              <w:keepNext/>
              <w:spacing w:line="240" w:lineRule="auto" w:after="0"/>
              <w:ind w:firstLine="0"/>
              <w:jc w:val="center"/>
            </w:pPr>
            <w:r/>
            <w:r>
              <w:rPr>
                <w:rFonts w:ascii="Times New Roman" w:hAnsi="Times New Roman"/>
                <w:b/>
                <w:sz w:val="22"/>
              </w:rPr>
              <w:t>Набір даних</w:t>
            </w:r>
          </w:p>
        </w:tc>
        <w:tc>
          <w:tcPr>
            <w:tcW w:type="dxa" w:w="1701"/>
          </w:tcPr>
          <w:p>
            <w:pPr>
              <w:keepNext/>
              <w:spacing w:line="240" w:lineRule="auto" w:after="0"/>
              <w:ind w:firstLine="0"/>
              <w:jc w:val="center"/>
            </w:pPr>
            <w:r/>
            <w:r>
              <w:rPr>
                <w:rFonts w:ascii="Times New Roman" w:hAnsi="Times New Roman"/>
                <w:b/>
                <w:sz w:val="22"/>
              </w:rPr>
              <w:t>Обсяг</w:t>
            </w:r>
          </w:p>
        </w:tc>
        <w:tc>
          <w:tcPr>
            <w:tcW w:type="dxa" w:w="1247"/>
          </w:tcPr>
          <w:p>
            <w:pPr>
              <w:keepNext/>
              <w:spacing w:line="240" w:lineRule="auto" w:after="0"/>
              <w:ind w:firstLine="0"/>
              <w:jc w:val="center"/>
            </w:pPr>
            <w:r/>
            <w:r>
              <w:rPr>
                <w:rFonts w:ascii="Times New Roman" w:hAnsi="Times New Roman"/>
                <w:b/>
                <w:sz w:val="22"/>
              </w:rPr>
              <w:t>Формат</w:t>
            </w:r>
          </w:p>
        </w:tc>
        <w:tc>
          <w:tcPr>
            <w:tcW w:type="dxa" w:w="2268"/>
          </w:tcPr>
          <w:p>
            <w:pPr>
              <w:keepNext/>
              <w:spacing w:line="240" w:lineRule="auto" w:after="0"/>
              <w:ind w:firstLine="0"/>
              <w:jc w:val="center"/>
            </w:pPr>
            <w:r/>
            <w:r>
              <w:rPr>
                <w:rFonts w:ascii="Times New Roman" w:hAnsi="Times New Roman"/>
                <w:b/>
                <w:sz w:val="22"/>
              </w:rPr>
              <w:t>Розмітка</w:t>
            </w:r>
          </w:p>
        </w:tc>
        <w:tc>
          <w:tcPr>
            <w:tcW w:type="dxa" w:w="2381"/>
          </w:tcPr>
          <w:p>
            <w:pPr>
              <w:keepNext/>
              <w:spacing w:line="240" w:lineRule="auto" w:after="0"/>
              <w:ind w:firstLine="0"/>
              <w:jc w:val="center"/>
            </w:pPr>
            <w:r/>
            <w:r>
              <w:rPr>
                <w:rFonts w:ascii="Times New Roman" w:hAnsi="Times New Roman"/>
                <w:b/>
                <w:sz w:val="22"/>
              </w:rPr>
              <w:t>Придатність для задачі роботи</w:t>
            </w:r>
          </w:p>
        </w:tc>
      </w:tr>
      <w:tr>
        <w:trPr>
          <w:cantSplit/>
        </w:trPr>
        <w:tc>
          <w:tcPr>
            <w:tcW w:type="dxa" w:w="2041"/>
          </w:tcPr>
          <w:p>
            <w:pPr>
              <w:keepNext/>
              <w:spacing w:line="240" w:lineRule="auto" w:after="0"/>
              <w:ind w:firstLine="0"/>
            </w:pPr>
            <w:r/>
            <w:r>
              <w:rPr>
                <w:rFonts w:ascii="Times New Roman" w:hAnsi="Times New Roman"/>
                <w:sz w:val="22"/>
              </w:rPr>
              <w:t>ChestX-ray14 [27]</w:t>
            </w:r>
          </w:p>
        </w:tc>
        <w:tc>
          <w:tcPr>
            <w:tcW w:type="dxa" w:w="1701"/>
          </w:tcPr>
          <w:p>
            <w:pPr>
              <w:keepNext/>
              <w:spacing w:line="240" w:lineRule="auto" w:after="0"/>
              <w:ind w:firstLine="0"/>
            </w:pPr>
            <w:r/>
            <w:r>
              <w:rPr>
                <w:rFonts w:ascii="Times New Roman" w:hAnsi="Times New Roman"/>
                <w:sz w:val="22"/>
              </w:rPr>
              <w:t>112 120 знімків</w:t>
            </w:r>
          </w:p>
        </w:tc>
        <w:tc>
          <w:tcPr>
            <w:tcW w:type="dxa" w:w="1247"/>
          </w:tcPr>
          <w:p>
            <w:pPr>
              <w:keepNext/>
              <w:spacing w:line="240" w:lineRule="auto" w:after="0"/>
              <w:ind w:firstLine="0"/>
            </w:pPr>
            <w:r/>
            <w:r>
              <w:rPr>
                <w:rFonts w:ascii="Times New Roman" w:hAnsi="Times New Roman"/>
                <w:sz w:val="22"/>
              </w:rPr>
              <w:t>PNG, 8 біт</w:t>
            </w:r>
          </w:p>
        </w:tc>
        <w:tc>
          <w:tcPr>
            <w:tcW w:type="dxa" w:w="2268"/>
          </w:tcPr>
          <w:p>
            <w:pPr>
              <w:keepNext/>
              <w:spacing w:line="240" w:lineRule="auto" w:after="0"/>
              <w:ind w:firstLine="0"/>
            </w:pPr>
            <w:r/>
            <w:r>
              <w:rPr>
                <w:rFonts w:ascii="Times New Roman" w:hAnsi="Times New Roman"/>
                <w:sz w:val="22"/>
              </w:rPr>
              <w:t>14 класів, автоматично з текстів висновків</w:t>
            </w:r>
          </w:p>
        </w:tc>
        <w:tc>
          <w:tcPr>
            <w:tcW w:type="dxa" w:w="2381"/>
          </w:tcPr>
          <w:p>
            <w:pPr>
              <w:keepNext/>
              <w:spacing w:line="240" w:lineRule="auto" w:after="0"/>
              <w:ind w:firstLine="0"/>
            </w:pPr>
            <w:r/>
            <w:r>
              <w:rPr>
                <w:rFonts w:ascii="Times New Roman" w:hAnsi="Times New Roman"/>
                <w:sz w:val="22"/>
              </w:rPr>
              <w:t>Обмежена: мітки зашумлені</w:t>
            </w:r>
          </w:p>
        </w:tc>
      </w:tr>
      <w:tr>
        <w:trPr>
          <w:cantSplit/>
        </w:trPr>
        <w:tc>
          <w:tcPr>
            <w:tcW w:type="dxa" w:w="2041"/>
          </w:tcPr>
          <w:p>
            <w:pPr>
              <w:keepNext/>
              <w:spacing w:line="240" w:lineRule="auto" w:after="0"/>
              <w:ind w:firstLine="0"/>
            </w:pPr>
            <w:r/>
            <w:r>
              <w:rPr>
                <w:rFonts w:ascii="Times New Roman" w:hAnsi="Times New Roman"/>
                <w:sz w:val="22"/>
              </w:rPr>
              <w:t>CheXpert [29]</w:t>
            </w:r>
          </w:p>
        </w:tc>
        <w:tc>
          <w:tcPr>
            <w:tcW w:type="dxa" w:w="1701"/>
          </w:tcPr>
          <w:p>
            <w:pPr>
              <w:keepNext/>
              <w:spacing w:line="240" w:lineRule="auto" w:after="0"/>
              <w:ind w:firstLine="0"/>
            </w:pPr>
            <w:r/>
            <w:r>
              <w:rPr>
                <w:rFonts w:ascii="Times New Roman" w:hAnsi="Times New Roman"/>
                <w:sz w:val="22"/>
              </w:rPr>
              <w:t>224 316 знімків</w:t>
            </w:r>
          </w:p>
        </w:tc>
        <w:tc>
          <w:tcPr>
            <w:tcW w:type="dxa" w:w="1247"/>
          </w:tcPr>
          <w:p>
            <w:pPr>
              <w:keepNext/>
              <w:spacing w:line="240" w:lineRule="auto" w:after="0"/>
              <w:ind w:firstLine="0"/>
            </w:pPr>
            <w:r/>
            <w:r>
              <w:rPr>
                <w:rFonts w:ascii="Times New Roman" w:hAnsi="Times New Roman"/>
                <w:sz w:val="22"/>
              </w:rPr>
              <w:t>JPEG</w:t>
            </w:r>
          </w:p>
        </w:tc>
        <w:tc>
          <w:tcPr>
            <w:tcW w:type="dxa" w:w="2268"/>
          </w:tcPr>
          <w:p>
            <w:pPr>
              <w:keepNext/>
              <w:spacing w:line="240" w:lineRule="auto" w:after="0"/>
              <w:ind w:firstLine="0"/>
            </w:pPr>
            <w:r/>
            <w:r>
              <w:rPr>
                <w:rFonts w:ascii="Times New Roman" w:hAnsi="Times New Roman"/>
                <w:sz w:val="22"/>
              </w:rPr>
              <w:t>14 станів, окремий клас невизначеності</w:t>
            </w:r>
          </w:p>
        </w:tc>
        <w:tc>
          <w:tcPr>
            <w:tcW w:type="dxa" w:w="2381"/>
          </w:tcPr>
          <w:p>
            <w:pPr>
              <w:keepNext/>
              <w:spacing w:line="240" w:lineRule="auto" w:after="0"/>
              <w:ind w:firstLine="0"/>
            </w:pPr>
            <w:r/>
            <w:r>
              <w:rPr>
                <w:rFonts w:ascii="Times New Roman" w:hAnsi="Times New Roman"/>
                <w:sz w:val="22"/>
              </w:rPr>
              <w:t>Висока, але великий обсяг</w:t>
            </w:r>
          </w:p>
        </w:tc>
      </w:tr>
      <w:tr>
        <w:trPr>
          <w:cantSplit/>
        </w:trPr>
        <w:tc>
          <w:tcPr>
            <w:tcW w:type="dxa" w:w="2041"/>
          </w:tcPr>
          <w:p>
            <w:pPr>
              <w:keepNext/>
              <w:spacing w:line="240" w:lineRule="auto" w:after="0"/>
              <w:ind w:firstLine="0"/>
            </w:pPr>
            <w:r/>
            <w:r>
              <w:rPr>
                <w:rFonts w:ascii="Times New Roman" w:hAnsi="Times New Roman"/>
                <w:sz w:val="22"/>
              </w:rPr>
              <w:t>MIMIC-CXR [30]</w:t>
            </w:r>
          </w:p>
        </w:tc>
        <w:tc>
          <w:tcPr>
            <w:tcW w:type="dxa" w:w="1701"/>
          </w:tcPr>
          <w:p>
            <w:pPr>
              <w:keepNext/>
              <w:spacing w:line="240" w:lineRule="auto" w:after="0"/>
              <w:ind w:firstLine="0"/>
            </w:pPr>
            <w:r/>
            <w:r>
              <w:rPr>
                <w:rFonts w:ascii="Times New Roman" w:hAnsi="Times New Roman"/>
                <w:sz w:val="22"/>
              </w:rPr>
              <w:t>377 110 знімків</w:t>
            </w:r>
          </w:p>
        </w:tc>
        <w:tc>
          <w:tcPr>
            <w:tcW w:type="dxa" w:w="1247"/>
          </w:tcPr>
          <w:p>
            <w:pPr>
              <w:keepNext/>
              <w:spacing w:line="240" w:lineRule="auto" w:after="0"/>
              <w:ind w:firstLine="0"/>
            </w:pPr>
            <w:r/>
            <w:r>
              <w:rPr>
                <w:rFonts w:ascii="Times New Roman" w:hAnsi="Times New Roman"/>
                <w:sz w:val="22"/>
              </w:rPr>
              <w:t>DICOM</w:t>
            </w:r>
          </w:p>
        </w:tc>
        <w:tc>
          <w:tcPr>
            <w:tcW w:type="dxa" w:w="2268"/>
          </w:tcPr>
          <w:p>
            <w:pPr>
              <w:keepNext/>
              <w:spacing w:line="240" w:lineRule="auto" w:after="0"/>
              <w:ind w:firstLine="0"/>
            </w:pPr>
            <w:r/>
            <w:r>
              <w:rPr>
                <w:rFonts w:ascii="Times New Roman" w:hAnsi="Times New Roman"/>
                <w:sz w:val="22"/>
              </w:rPr>
              <w:t>14 станів, висновки</w:t>
            </w:r>
          </w:p>
        </w:tc>
        <w:tc>
          <w:tcPr>
            <w:tcW w:type="dxa" w:w="2381"/>
          </w:tcPr>
          <w:p>
            <w:pPr>
              <w:keepNext/>
              <w:spacing w:line="240" w:lineRule="auto" w:after="0"/>
              <w:ind w:firstLine="0"/>
            </w:pPr>
            <w:r/>
            <w:r>
              <w:rPr>
                <w:rFonts w:ascii="Times New Roman" w:hAnsi="Times New Roman"/>
                <w:sz w:val="22"/>
              </w:rPr>
              <w:t>Висока, потребує окремого доступу</w:t>
            </w:r>
          </w:p>
        </w:tc>
      </w:tr>
      <w:tr>
        <w:trPr>
          <w:cantSplit/>
        </w:trPr>
        <w:tc>
          <w:tcPr>
            <w:tcW w:type="dxa" w:w="2041"/>
          </w:tcPr>
          <w:p>
            <w:pPr>
              <w:keepNext/>
              <w:spacing w:line="240" w:lineRule="auto" w:after="0"/>
              <w:ind w:firstLine="0"/>
            </w:pPr>
            <w:r/>
            <w:r>
              <w:rPr>
                <w:rFonts w:ascii="Times New Roman" w:hAnsi="Times New Roman"/>
                <w:sz w:val="22"/>
              </w:rPr>
              <w:t>RSNA Pneumonia 2018 [31]</w:t>
            </w:r>
          </w:p>
        </w:tc>
        <w:tc>
          <w:tcPr>
            <w:tcW w:type="dxa" w:w="1701"/>
          </w:tcPr>
          <w:p>
            <w:pPr>
              <w:keepNext/>
              <w:spacing w:line="240" w:lineRule="auto" w:after="0"/>
              <w:ind w:firstLine="0"/>
            </w:pPr>
            <w:r/>
            <w:r>
              <w:rPr>
                <w:rFonts w:ascii="Times New Roman" w:hAnsi="Times New Roman"/>
                <w:sz w:val="22"/>
              </w:rPr>
              <w:t>близько 30 000 знімків</w:t>
            </w:r>
          </w:p>
        </w:tc>
        <w:tc>
          <w:tcPr>
            <w:tcW w:type="dxa" w:w="1247"/>
          </w:tcPr>
          <w:p>
            <w:pPr>
              <w:keepNext/>
              <w:spacing w:line="240" w:lineRule="auto" w:after="0"/>
              <w:ind w:firstLine="0"/>
            </w:pPr>
            <w:r/>
            <w:r>
              <w:rPr>
                <w:rFonts w:ascii="Times New Roman" w:hAnsi="Times New Roman"/>
                <w:sz w:val="22"/>
              </w:rPr>
              <w:t>DICOM</w:t>
            </w:r>
          </w:p>
        </w:tc>
        <w:tc>
          <w:tcPr>
            <w:tcW w:type="dxa" w:w="2268"/>
          </w:tcPr>
          <w:p>
            <w:pPr>
              <w:keepNext/>
              <w:spacing w:line="240" w:lineRule="auto" w:after="0"/>
              <w:ind w:firstLine="0"/>
            </w:pPr>
            <w:r/>
            <w:r>
              <w:rPr>
                <w:rFonts w:ascii="Times New Roman" w:hAnsi="Times New Roman"/>
                <w:sz w:val="22"/>
              </w:rPr>
              <w:t>3 класи, обмежувальні прямокутники</w:t>
            </w:r>
          </w:p>
        </w:tc>
        <w:tc>
          <w:tcPr>
            <w:tcW w:type="dxa" w:w="2381"/>
          </w:tcPr>
          <w:p>
            <w:pPr>
              <w:keepNext/>
              <w:spacing w:line="240" w:lineRule="auto" w:after="0"/>
              <w:ind w:firstLine="0"/>
            </w:pPr>
            <w:r/>
            <w:r>
              <w:rPr>
                <w:rFonts w:ascii="Times New Roman" w:hAnsi="Times New Roman"/>
                <w:sz w:val="22"/>
              </w:rPr>
              <w:t>Найвища: експертна розмітка саме затемнень</w:t>
            </w:r>
          </w:p>
        </w:tc>
      </w:tr>
      <w:tr>
        <w:trPr>
          <w:cantSplit/>
        </w:trPr>
        <w:tc>
          <w:tcPr>
            <w:tcW w:type="dxa" w:w="2041"/>
          </w:tcPr>
          <w:p>
            <w:pPr>
              <w:spacing w:line="240" w:lineRule="auto" w:after="0"/>
              <w:ind w:firstLine="0"/>
            </w:pPr>
            <w:r/>
            <w:r>
              <w:rPr>
                <w:rFonts w:ascii="Times New Roman" w:hAnsi="Times New Roman"/>
                <w:sz w:val="22"/>
              </w:rPr>
              <w:t>Педіатричний набір [32]</w:t>
            </w:r>
          </w:p>
        </w:tc>
        <w:tc>
          <w:tcPr>
            <w:tcW w:type="dxa" w:w="1701"/>
          </w:tcPr>
          <w:p>
            <w:pPr>
              <w:spacing w:line="240" w:lineRule="auto" w:after="0"/>
              <w:ind w:firstLine="0"/>
            </w:pPr>
            <w:r/>
            <w:r>
              <w:rPr>
                <w:rFonts w:ascii="Times New Roman" w:hAnsi="Times New Roman"/>
                <w:sz w:val="22"/>
              </w:rPr>
              <w:t>5 856 знімків</w:t>
            </w:r>
          </w:p>
        </w:tc>
        <w:tc>
          <w:tcPr>
            <w:tcW w:type="dxa" w:w="1247"/>
          </w:tcPr>
          <w:p>
            <w:pPr>
              <w:spacing w:line="240" w:lineRule="auto" w:after="0"/>
              <w:ind w:firstLine="0"/>
            </w:pPr>
            <w:r/>
            <w:r>
              <w:rPr>
                <w:rFonts w:ascii="Times New Roman" w:hAnsi="Times New Roman"/>
                <w:sz w:val="22"/>
              </w:rPr>
              <w:t>JPEG</w:t>
            </w:r>
          </w:p>
        </w:tc>
        <w:tc>
          <w:tcPr>
            <w:tcW w:type="dxa" w:w="2268"/>
          </w:tcPr>
          <w:p>
            <w:pPr>
              <w:spacing w:line="240" w:lineRule="auto" w:after="0"/>
              <w:ind w:firstLine="0"/>
            </w:pPr>
            <w:r/>
            <w:r>
              <w:rPr>
                <w:rFonts w:ascii="Times New Roman" w:hAnsi="Times New Roman"/>
                <w:sz w:val="22"/>
              </w:rPr>
              <w:t>2 класи</w:t>
            </w:r>
          </w:p>
        </w:tc>
        <w:tc>
          <w:tcPr>
            <w:tcW w:type="dxa" w:w="2381"/>
          </w:tcPr>
          <w:p>
            <w:pPr>
              <w:spacing w:line="240" w:lineRule="auto" w:after="0"/>
              <w:ind w:firstLine="0"/>
            </w:pPr>
            <w:r/>
            <w:r>
              <w:rPr>
                <w:rFonts w:ascii="Times New Roman" w:hAnsi="Times New Roman"/>
                <w:sz w:val="22"/>
              </w:rPr>
              <w:t>Низька: один центр, спрощена задача</w:t>
            </w:r>
          </w:p>
        </w:tc>
      </w:tr>
    </w:tbl>
    <w:p>
      <w:pPr>
        <w:spacing w:after="120"/>
        <w:ind w:firstLine="0"/>
        <w:jc w:val="both"/>
      </w:pPr>
      <w:r>
        <w:rPr>
          <w:rFonts w:ascii="Times New Roman" w:hAnsi="Times New Roman"/>
          <w:b w:val="0"/>
          <w:i w:val="0"/>
        </w:rPr>
      </w:r>
    </w:p>
    <w:p>
      <w:pPr>
        <w:spacing w:after="0"/>
        <w:ind w:firstLine="850"/>
        <w:jc w:val="both"/>
      </w:pPr>
      <w:r>
        <w:rPr>
          <w:rFonts w:ascii="Times New Roman" w:hAnsi="Times New Roman"/>
          <w:b w:val="0"/>
          <w:i w:val="0"/>
        </w:rPr>
        <w:t>Для цього дослідження обрано набір RSNA Pneumonia Detection Challenge 2018. Визначальними аргументами є: збереження вихідного формату DICOM з повною розрядністю пікселів; експертна розмітка, виконана сертифікованими рентгенологами безпосередньо під задачу виявлення затемнень; наявність трьох класів, що дозволяє провести змістовний аналіз структури помилок; багатоцентрове походження вихідних даних, що знижує ризик прив'язки моделі до особливостей одного закладу.</w:t>
      </w:r>
    </w:p>
    <w:p>
      <w:pPr>
        <w:spacing w:after="0"/>
        <w:ind w:firstLine="850"/>
        <w:jc w:val="both"/>
      </w:pPr>
      <w:r>
        <w:rPr>
          <w:rFonts w:ascii="Times New Roman" w:hAnsi="Times New Roman"/>
          <w:b w:val="0"/>
          <w:i w:val="0"/>
        </w:rPr>
        <w:t>Суттєвою характеристикою задачі є дисбаланс класів: частка знімків з ознаками затемнення становить приблизно чверть вибірки. За таких умов частка правильних відповідей (accuracy) є непридатною метрикою, оскільки тривіальний класифікатор, що завжди прогнозує негативний клас, отримує близько 76 % правильних відповідей, не маючи жодної діагностичної цінності. Тому оцінювання спирається на метрики, обчислені з матриці невідповідностей, елементами якої є кількості істинно позитивних TP, хибно позитивних FP, істинно негативних TN та хибно негативних FN прогнозів:</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Precision = TP / (TP + FP)</w:t>
        <w:tab/>
        <w:t>(1.8)</w:t>
      </w:r>
    </w:p>
    <w:p>
      <w:pPr>
        <w:spacing w:after="0" w:line="360" w:lineRule="auto"/>
        <w:ind w:firstLine="0"/>
      </w:pP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Recall = Sensitivity = TP / (TP + FN)</w:t>
        <w:tab/>
        <w:t>(1.9)</w:t>
      </w:r>
    </w:p>
    <w:p>
      <w:pPr>
        <w:spacing w:after="0" w:line="360" w:lineRule="auto"/>
        <w:ind w:firstLine="0"/>
      </w:pP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Specificity = TN / (TN + FP)</w:t>
        <w:tab/>
        <w:t>(1.10)</w:t>
      </w:r>
    </w:p>
    <w:p>
      <w:pPr>
        <w:spacing w:after="0" w:line="360" w:lineRule="auto"/>
        <w:ind w:firstLine="0"/>
      </w:pP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F1 = 2 · Precision · Recall / (Precision + Recall)</w:t>
        <w:tab/>
        <w:t>(1.11)</w:t>
      </w:r>
    </w:p>
    <w:p>
      <w:pPr>
        <w:spacing w:after="0" w:line="360" w:lineRule="auto"/>
        <w:ind w:firstLine="0"/>
      </w:pPr>
    </w:p>
    <w:p>
      <w:pPr>
        <w:spacing w:after="0"/>
        <w:ind w:firstLine="850"/>
        <w:jc w:val="both"/>
      </w:pPr>
      <w:r>
        <w:rPr>
          <w:rFonts w:ascii="Times New Roman" w:hAnsi="Times New Roman"/>
          <w:b w:val="0"/>
          <w:i w:val="0"/>
        </w:rPr>
        <w:t>Усі наведені метрики обчислюються для фіксованого порога бінаризації ймовірності й тому залежать від його вибору. Для оцінювання якості моделі незалежно від порога застосовується площа під кривою робочих характеристик приймача (ROC-AUC), яка чисельно дорівнює ймовірності того, що випадково обраному позитивному прикладу модель припише вищу ймовірність, ніж випадково обраному негативному [41]. Для незбалансованих вибірок додатково використовують площу під кривою «повнота — точність» (AUPRC), яка, на відміну від ROC-AUC, є чутливою до частки позитивного класу і краще відображає практичну поведінку системи [42]. Вибір робочого порога здійснюється за максимумом F1-міри або за статистикою Юдена J = Sensitivity + Specificity − 1 [43] — залежно від того, що є пріоритетним у конкретному сценарії застосування: збалансованість помилок чи мінімізація пропущених випадків.</w:t>
      </w:r>
    </w:p>
    <w:p>
      <w:pPr>
        <w:spacing w:after="0"/>
        <w:ind w:firstLine="850"/>
        <w:jc w:val="both"/>
      </w:pPr>
      <w:r>
        <w:rPr>
          <w:rFonts w:ascii="Times New Roman" w:hAnsi="Times New Roman"/>
          <w:b w:val="0"/>
          <w:i w:val="0"/>
        </w:rPr>
        <w:t>Окремим методологічним вимогою є коректна схема поділу даних. Оскільки один пацієнт може мати кілька знімків, випадковий поділ на рівні зображень призводить до витоку інформації між навчальною та контрольною вибірками і до завищених оцінок якості. Тому поділ має виконуватися на рівні пацієнта зі стратифікацією за цільовим класом, а тестова вибірка має використовуватися рівно один раз — після остаточного відбору моделі за валідаційною вибіркою.</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1.6. Особливості розгортання моделей глибинного навчання на мобільних пристроях</w:t>
      </w:r>
    </w:p>
    <w:p>
      <w:pPr>
        <w:spacing w:after="0"/>
        <w:ind w:firstLine="850"/>
        <w:jc w:val="both"/>
      </w:pPr>
      <w:r>
        <w:rPr>
          <w:rFonts w:ascii="Times New Roman" w:hAnsi="Times New Roman"/>
          <w:b w:val="0"/>
          <w:i w:val="0"/>
        </w:rPr>
        <w:t>Практична цінність системи виявлення пневмонії суттєво зростає, якщо вона доступна безпосередньо у місці отримання знімка. Хмарна архітектура, за якої зображення передається на віддалений сервер, має три принципові недоліки в медичному контексті: залежність від каналу зв'язку, який може бути відсутнім саме там, де система потрібна найбільше; затримка відповіді; і, головне, передавання персональних медичних даних за межі закладу, що підпадає під регулювання захисту даних та вимог до медичних виробів [44]. Локальне виконання моделі на пристрої усуває всі три проблеми: зображення не залишає пристрій, результат отримується без мережі, а затримка визначається лише обчислювальними можливостями апаратної платформи.</w:t>
      </w:r>
    </w:p>
    <w:p>
      <w:pPr>
        <w:spacing w:after="0"/>
        <w:ind w:firstLine="850"/>
        <w:jc w:val="both"/>
      </w:pPr>
      <w:r>
        <w:rPr>
          <w:rFonts w:ascii="Times New Roman" w:hAnsi="Times New Roman"/>
          <w:b w:val="0"/>
          <w:i w:val="0"/>
        </w:rPr>
        <w:t>Технологічною основою локального виконання є проміжні формати представлення моделей. Формат ONNX (Open Neural Network Exchange) визначає незалежний від фреймворку граф обчислень та набір стандартизованих операторів, згрупованих у версії набору операцій (opset) [45]; виконання такого графа забезпечує середовище ONNX Runtime, доступне, зокрема, для платформ Android та iOS [46]. Альтернативою є TensorFlow Lite [47], орієнтований переважно на моделі, побудовані засобами TensorFlow. Зіставлення варіантів наведено у табл. 1.5.</w:t>
      </w:r>
    </w:p>
    <w:p>
      <w:pPr>
        <w:keepNext/>
        <w:spacing w:after="0" w:line="240" w:lineRule="auto"/>
        <w:ind w:firstLine="0"/>
        <w:jc w:val="right"/>
      </w:pPr>
      <w:r>
        <w:rPr>
          <w:rFonts w:ascii="Times New Roman" w:hAnsi="Times New Roman"/>
          <w:b w:val="0"/>
          <w:i w:val="0"/>
          <w:sz w:val="26"/>
        </w:rPr>
        <w:t>Таблиця 1.5</w:t>
      </w:r>
    </w:p>
    <w:p>
      <w:pPr>
        <w:keepNext/>
        <w:spacing w:after="80" w:line="240" w:lineRule="auto"/>
        <w:ind w:firstLine="0"/>
        <w:jc w:val="center"/>
      </w:pPr>
      <w:r>
        <w:rPr>
          <w:rFonts w:ascii="Times New Roman" w:hAnsi="Times New Roman"/>
          <w:b/>
          <w:i w:val="0"/>
          <w:sz w:val="26"/>
        </w:rPr>
        <w:t>Середовища виконання моделей на мобільних пристроях</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1814"/>
          </w:tcPr>
          <w:p>
            <w:pPr>
              <w:keepNext/>
              <w:spacing w:line="240" w:lineRule="auto" w:after="0"/>
              <w:ind w:firstLine="0"/>
              <w:jc w:val="center"/>
            </w:pPr>
            <w:r/>
            <w:r>
              <w:rPr>
                <w:rFonts w:ascii="Times New Roman" w:hAnsi="Times New Roman"/>
                <w:b/>
                <w:sz w:val="22"/>
              </w:rPr>
              <w:t>Середовище</w:t>
            </w:r>
          </w:p>
        </w:tc>
        <w:tc>
          <w:tcPr>
            <w:tcW w:type="dxa" w:w="2268"/>
          </w:tcPr>
          <w:p>
            <w:pPr>
              <w:keepNext/>
              <w:spacing w:line="240" w:lineRule="auto" w:after="0"/>
              <w:ind w:firstLine="0"/>
              <w:jc w:val="center"/>
            </w:pPr>
            <w:r/>
            <w:r>
              <w:rPr>
                <w:rFonts w:ascii="Times New Roman" w:hAnsi="Times New Roman"/>
                <w:b/>
                <w:sz w:val="22"/>
              </w:rPr>
              <w:t>Джерело моделі</w:t>
            </w:r>
          </w:p>
        </w:tc>
        <w:tc>
          <w:tcPr>
            <w:tcW w:type="dxa" w:w="2948"/>
          </w:tcPr>
          <w:p>
            <w:pPr>
              <w:keepNext/>
              <w:spacing w:line="240" w:lineRule="auto" w:after="0"/>
              <w:ind w:firstLine="0"/>
              <w:jc w:val="center"/>
            </w:pPr>
            <w:r/>
            <w:r>
              <w:rPr>
                <w:rFonts w:ascii="Times New Roman" w:hAnsi="Times New Roman"/>
                <w:b/>
                <w:sz w:val="22"/>
              </w:rPr>
              <w:t>Переваги</w:t>
            </w:r>
          </w:p>
        </w:tc>
        <w:tc>
          <w:tcPr>
            <w:tcW w:type="dxa" w:w="2608"/>
          </w:tcPr>
          <w:p>
            <w:pPr>
              <w:keepNext/>
              <w:spacing w:line="240" w:lineRule="auto" w:after="0"/>
              <w:ind w:firstLine="0"/>
              <w:jc w:val="center"/>
            </w:pPr>
            <w:r/>
            <w:r>
              <w:rPr>
                <w:rFonts w:ascii="Times New Roman" w:hAnsi="Times New Roman"/>
                <w:b/>
                <w:sz w:val="22"/>
              </w:rPr>
              <w:t>Обмеження</w:t>
            </w:r>
          </w:p>
        </w:tc>
      </w:tr>
      <w:tr>
        <w:trPr>
          <w:cantSplit/>
        </w:trPr>
        <w:tc>
          <w:tcPr>
            <w:tcW w:type="dxa" w:w="1814"/>
          </w:tcPr>
          <w:p>
            <w:pPr>
              <w:keepNext/>
              <w:spacing w:line="240" w:lineRule="auto" w:after="0"/>
              <w:ind w:firstLine="0"/>
            </w:pPr>
            <w:r/>
            <w:r>
              <w:rPr>
                <w:rFonts w:ascii="Times New Roman" w:hAnsi="Times New Roman"/>
                <w:sz w:val="22"/>
              </w:rPr>
              <w:t>ONNX Runtime</w:t>
            </w:r>
          </w:p>
        </w:tc>
        <w:tc>
          <w:tcPr>
            <w:tcW w:type="dxa" w:w="2268"/>
          </w:tcPr>
          <w:p>
            <w:pPr>
              <w:keepNext/>
              <w:spacing w:line="240" w:lineRule="auto" w:after="0"/>
              <w:ind w:firstLine="0"/>
            </w:pPr>
            <w:r/>
            <w:r>
              <w:rPr>
                <w:rFonts w:ascii="Times New Roman" w:hAnsi="Times New Roman"/>
                <w:sz w:val="22"/>
              </w:rPr>
              <w:t>PyTorch, TensorFlow, scikit-learn</w:t>
            </w:r>
          </w:p>
        </w:tc>
        <w:tc>
          <w:tcPr>
            <w:tcW w:type="dxa" w:w="2948"/>
          </w:tcPr>
          <w:p>
            <w:pPr>
              <w:keepNext/>
              <w:spacing w:line="240" w:lineRule="auto" w:after="0"/>
              <w:ind w:firstLine="0"/>
            </w:pPr>
            <w:r/>
            <w:r>
              <w:rPr>
                <w:rFonts w:ascii="Times New Roman" w:hAnsi="Times New Roman"/>
                <w:sz w:val="22"/>
              </w:rPr>
              <w:t>Незалежність від фреймворку, стабільна специфікація операторів</w:t>
            </w:r>
          </w:p>
        </w:tc>
        <w:tc>
          <w:tcPr>
            <w:tcW w:type="dxa" w:w="2608"/>
          </w:tcPr>
          <w:p>
            <w:pPr>
              <w:keepNext/>
              <w:spacing w:line="240" w:lineRule="auto" w:after="0"/>
              <w:ind w:firstLine="0"/>
            </w:pPr>
            <w:r/>
            <w:r>
              <w:rPr>
                <w:rFonts w:ascii="Times New Roman" w:hAnsi="Times New Roman"/>
                <w:sz w:val="22"/>
              </w:rPr>
              <w:t>Більший розмір бібліотеки</w:t>
            </w:r>
          </w:p>
        </w:tc>
      </w:tr>
      <w:tr>
        <w:trPr>
          <w:cantSplit/>
        </w:trPr>
        <w:tc>
          <w:tcPr>
            <w:tcW w:type="dxa" w:w="1814"/>
          </w:tcPr>
          <w:p>
            <w:pPr>
              <w:keepNext/>
              <w:spacing w:line="240" w:lineRule="auto" w:after="0"/>
              <w:ind w:firstLine="0"/>
            </w:pPr>
            <w:r/>
            <w:r>
              <w:rPr>
                <w:rFonts w:ascii="Times New Roman" w:hAnsi="Times New Roman"/>
                <w:sz w:val="22"/>
              </w:rPr>
              <w:t>TensorFlow Lite</w:t>
            </w:r>
          </w:p>
        </w:tc>
        <w:tc>
          <w:tcPr>
            <w:tcW w:type="dxa" w:w="2268"/>
          </w:tcPr>
          <w:p>
            <w:pPr>
              <w:keepNext/>
              <w:spacing w:line="240" w:lineRule="auto" w:after="0"/>
              <w:ind w:firstLine="0"/>
            </w:pPr>
            <w:r/>
            <w:r>
              <w:rPr>
                <w:rFonts w:ascii="Times New Roman" w:hAnsi="Times New Roman"/>
                <w:sz w:val="22"/>
              </w:rPr>
              <w:t>Переважно TensorFlow / Keras</w:t>
            </w:r>
          </w:p>
        </w:tc>
        <w:tc>
          <w:tcPr>
            <w:tcW w:type="dxa" w:w="2948"/>
          </w:tcPr>
          <w:p>
            <w:pPr>
              <w:keepNext/>
              <w:spacing w:line="240" w:lineRule="auto" w:after="0"/>
              <w:ind w:firstLine="0"/>
            </w:pPr>
            <w:r/>
            <w:r>
              <w:rPr>
                <w:rFonts w:ascii="Times New Roman" w:hAnsi="Times New Roman"/>
                <w:sz w:val="22"/>
              </w:rPr>
              <w:t>Малий розмір, зріла апаратна акселерація</w:t>
            </w:r>
          </w:p>
        </w:tc>
        <w:tc>
          <w:tcPr>
            <w:tcW w:type="dxa" w:w="2608"/>
          </w:tcPr>
          <w:p>
            <w:pPr>
              <w:keepNext/>
              <w:spacing w:line="240" w:lineRule="auto" w:after="0"/>
              <w:ind w:firstLine="0"/>
            </w:pPr>
            <w:r/>
            <w:r>
              <w:rPr>
                <w:rFonts w:ascii="Times New Roman" w:hAnsi="Times New Roman"/>
                <w:sz w:val="22"/>
              </w:rPr>
              <w:t>Складна конвертація моделей PyTorch</w:t>
            </w:r>
          </w:p>
        </w:tc>
      </w:tr>
      <w:tr>
        <w:trPr>
          <w:cantSplit/>
        </w:trPr>
        <w:tc>
          <w:tcPr>
            <w:tcW w:type="dxa" w:w="1814"/>
          </w:tcPr>
          <w:p>
            <w:pPr>
              <w:spacing w:line="240" w:lineRule="auto" w:after="0"/>
              <w:ind w:firstLine="0"/>
            </w:pPr>
            <w:r/>
            <w:r>
              <w:rPr>
                <w:rFonts w:ascii="Times New Roman" w:hAnsi="Times New Roman"/>
                <w:sz w:val="22"/>
              </w:rPr>
              <w:t>Core ML</w:t>
            </w:r>
          </w:p>
        </w:tc>
        <w:tc>
          <w:tcPr>
            <w:tcW w:type="dxa" w:w="2268"/>
          </w:tcPr>
          <w:p>
            <w:pPr>
              <w:spacing w:line="240" w:lineRule="auto" w:after="0"/>
              <w:ind w:firstLine="0"/>
            </w:pPr>
            <w:r/>
            <w:r>
              <w:rPr>
                <w:rFonts w:ascii="Times New Roman" w:hAnsi="Times New Roman"/>
                <w:sz w:val="22"/>
              </w:rPr>
              <w:t>Конвертовані моделі</w:t>
            </w:r>
          </w:p>
        </w:tc>
        <w:tc>
          <w:tcPr>
            <w:tcW w:type="dxa" w:w="2948"/>
          </w:tcPr>
          <w:p>
            <w:pPr>
              <w:spacing w:line="240" w:lineRule="auto" w:after="0"/>
              <w:ind w:firstLine="0"/>
            </w:pPr>
            <w:r/>
            <w:r>
              <w:rPr>
                <w:rFonts w:ascii="Times New Roman" w:hAnsi="Times New Roman"/>
                <w:sz w:val="22"/>
              </w:rPr>
              <w:t>Глибока інтеграція з апаратним забезпеченням Apple</w:t>
            </w:r>
          </w:p>
        </w:tc>
        <w:tc>
          <w:tcPr>
            <w:tcW w:type="dxa" w:w="2608"/>
          </w:tcPr>
          <w:p>
            <w:pPr>
              <w:spacing w:line="240" w:lineRule="auto" w:after="0"/>
              <w:ind w:firstLine="0"/>
            </w:pPr>
            <w:r/>
            <w:r>
              <w:rPr>
                <w:rFonts w:ascii="Times New Roman" w:hAnsi="Times New Roman"/>
                <w:sz w:val="22"/>
              </w:rPr>
              <w:t>Лише платформа iOS</w:t>
            </w:r>
          </w:p>
        </w:tc>
      </w:tr>
    </w:tbl>
    <w:p>
      <w:pPr>
        <w:spacing w:after="120"/>
        <w:ind w:firstLine="0"/>
        <w:jc w:val="both"/>
      </w:pPr>
      <w:r>
        <w:rPr>
          <w:rFonts w:ascii="Times New Roman" w:hAnsi="Times New Roman"/>
          <w:b w:val="0"/>
          <w:i w:val="0"/>
        </w:rPr>
      </w:r>
    </w:p>
    <w:p>
      <w:pPr>
        <w:spacing w:after="0"/>
        <w:ind w:firstLine="850"/>
        <w:jc w:val="both"/>
      </w:pPr>
      <w:r>
        <w:rPr>
          <w:rFonts w:ascii="Times New Roman" w:hAnsi="Times New Roman"/>
          <w:b w:val="0"/>
          <w:i w:val="0"/>
        </w:rPr>
        <w:t>Окремим питанням є квантизація — переведення ваг і активацій з формату з рухомою комою у цілочисельне представлення, що зменшує розмір моделі приблизно вчетверо та прискорює обчислення [48]. Для медичних застосувань застосування квантизації потребує обережності: вона змінює числові результати моделі, а отже, потенційно і діагностичний висновок поблизу порога, тому має супроводжуватися окремою перевіркою узгодженості прогнозів.</w:t>
      </w:r>
    </w:p>
    <w:p>
      <w:pPr>
        <w:spacing w:after="0"/>
        <w:ind w:firstLine="850"/>
        <w:jc w:val="both"/>
      </w:pPr>
      <w:r>
        <w:rPr>
          <w:rFonts w:ascii="Times New Roman" w:hAnsi="Times New Roman"/>
          <w:b w:val="0"/>
          <w:i w:val="0"/>
        </w:rPr>
        <w:t>Окремою, майже не висвітленою в літературі проблемою локального виконання є читання самого медичного контейнера. Публікації з мобільного розгортання майже завжди беруть на вхід зображення, уже експортоване у PNG або JPEG, тоді як у клінічному середовищі дослідження існує у форматі DICOM. Мобільні платформи не мають штатних засобів його читання, а готові бібліотеки для них або відсутні, або підтримують лише нестиснені дані, хоча значна частина наборів зберігає пікселі стисненими. Наслідок не зводиться до зручності: розбір контейнера визначає розрядність, фотометричну інтерпретацію та правило масштабування, тобто самі значення, що потрапляють до мережі. Крім того, поява другого декодера на боці пристрою вносить власну числову похибку, яку потрібно вимірювати окремо від похибки попереднього оброблення.</w:t>
      </w:r>
    </w:p>
    <w:p>
      <w:pPr>
        <w:spacing w:after="0"/>
        <w:ind w:firstLine="850"/>
        <w:jc w:val="both"/>
      </w:pPr>
      <w:r>
        <w:rPr>
          <w:rFonts w:ascii="Times New Roman" w:hAnsi="Times New Roman"/>
          <w:b w:val="0"/>
          <w:i w:val="0"/>
        </w:rPr>
        <w:t>Найменш очевидним, але критичним аспектом локального виконання є паритет попередньої обробки. Модель навчається на зображеннях, підготовлених засобами Python, а виконується на зображеннях, підготовлених засобами мобільної платформи. Розбіжності в реалізації масштабування (наявність або відсутність згладжувального фільтра, спосіб обчислення координат), нормалізації та перетворення розрядності призводять до систематичного зсуву вхідних даних відносно навчального розподілу. Такий зсув не проявляється як помилка виконання, але спричиняє зміну прогнозованої ймовірності і тому має бути виміряний кількісно як складова методики дослідження, а не прийнятий на віру.</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1.7. Системний аналіз об'єкта дослідження та постановка задачі</w:t>
      </w:r>
    </w:p>
    <w:p>
      <w:pPr>
        <w:spacing w:after="0"/>
        <w:ind w:firstLine="850"/>
        <w:jc w:val="both"/>
      </w:pPr>
      <w:r>
        <w:rPr>
          <w:rFonts w:ascii="Times New Roman" w:hAnsi="Times New Roman"/>
          <w:b w:val="0"/>
          <w:i w:val="0"/>
        </w:rPr>
        <w:t>Проведений аналіз дозволяє сформулювати сукупність невирішених питань, що визначають напрям дослідження. Класичні методи аналізу зображень (підрозділ 1.2) не забезпечують достатньої якості на задачі виявлення затемнень через відсутність стабільної форми та меж у пневмонічної інфільтрації. Нейромережеві рішення (підрозділ 1.3) досягають прийнятної якості, проте в переважній більшості публікацій спираються на великі попередньо навчені архітектури загального призначення, не адаптовані до одноканального входу, надлишкові за кількістю параметрів і непридатні для виконання на мобільному пристрої. Інтерпретованість (підрозділ 1.4) у більшості робіт розглядається як окремий етап аналізу на робочій станції, а не як функція, доступна кінцевому користувачеві. Нарешті, питання чисельної відтворюваності прогнозу під час перенесення моделі з середовища навчання у мобільне середовище (підрозділ 1.6) у розглянутих джерелах практично не висвітлено.</w:t>
      </w:r>
    </w:p>
    <w:p>
      <w:pPr>
        <w:spacing w:after="0"/>
        <w:ind w:firstLine="850"/>
        <w:jc w:val="both"/>
      </w:pPr>
      <w:r>
        <w:rPr>
          <w:rFonts w:ascii="Times New Roman" w:hAnsi="Times New Roman"/>
          <w:b w:val="0"/>
          <w:i w:val="0"/>
        </w:rPr>
        <w:t>Зіставлення вимог до системи з можливостями розглянутих підходів наведено у табл. 1.6.</w:t>
      </w:r>
    </w:p>
    <w:p>
      <w:pPr>
        <w:keepNext/>
        <w:spacing w:after="0" w:line="240" w:lineRule="auto"/>
        <w:ind w:firstLine="0"/>
        <w:jc w:val="right"/>
      </w:pPr>
      <w:r>
        <w:rPr>
          <w:rFonts w:ascii="Times New Roman" w:hAnsi="Times New Roman"/>
          <w:b w:val="0"/>
          <w:i w:val="0"/>
          <w:sz w:val="26"/>
        </w:rPr>
        <w:t>Таблиця 1.6</w:t>
      </w:r>
    </w:p>
    <w:p>
      <w:pPr>
        <w:keepNext/>
        <w:spacing w:after="80" w:line="240" w:lineRule="auto"/>
        <w:ind w:firstLine="0"/>
        <w:jc w:val="center"/>
      </w:pPr>
      <w:r>
        <w:rPr>
          <w:rFonts w:ascii="Times New Roman" w:hAnsi="Times New Roman"/>
          <w:b/>
          <w:i w:val="0"/>
          <w:sz w:val="26"/>
        </w:rPr>
        <w:t>Відповідність розглянутих підходів вимогам до системи, що розробляється</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3061"/>
          </w:tcPr>
          <w:p>
            <w:pPr>
              <w:keepNext/>
              <w:spacing w:line="240" w:lineRule="auto" w:after="0"/>
              <w:ind w:firstLine="0"/>
              <w:jc w:val="center"/>
            </w:pPr>
            <w:r/>
            <w:r>
              <w:rPr>
                <w:rFonts w:ascii="Times New Roman" w:hAnsi="Times New Roman"/>
                <w:b/>
                <w:sz w:val="22"/>
              </w:rPr>
              <w:t>Вимога</w:t>
            </w:r>
          </w:p>
        </w:tc>
        <w:tc>
          <w:tcPr>
            <w:tcW w:type="dxa" w:w="2041"/>
          </w:tcPr>
          <w:p>
            <w:pPr>
              <w:keepNext/>
              <w:spacing w:line="240" w:lineRule="auto" w:after="0"/>
              <w:ind w:firstLine="0"/>
              <w:jc w:val="center"/>
            </w:pPr>
            <w:r/>
            <w:r>
              <w:rPr>
                <w:rFonts w:ascii="Times New Roman" w:hAnsi="Times New Roman"/>
                <w:b/>
                <w:sz w:val="22"/>
              </w:rPr>
              <w:t>Класичні методи</w:t>
            </w:r>
          </w:p>
        </w:tc>
        <w:tc>
          <w:tcPr>
            <w:tcW w:type="dxa" w:w="2268"/>
          </w:tcPr>
          <w:p>
            <w:pPr>
              <w:keepNext/>
              <w:spacing w:line="240" w:lineRule="auto" w:after="0"/>
              <w:ind w:firstLine="0"/>
              <w:jc w:val="center"/>
            </w:pPr>
            <w:r/>
            <w:r>
              <w:rPr>
                <w:rFonts w:ascii="Times New Roman" w:hAnsi="Times New Roman"/>
                <w:b/>
                <w:sz w:val="22"/>
              </w:rPr>
              <w:t>Попередньо навчені CNN</w:t>
            </w:r>
          </w:p>
        </w:tc>
        <w:tc>
          <w:tcPr>
            <w:tcW w:type="dxa" w:w="2268"/>
          </w:tcPr>
          <w:p>
            <w:pPr>
              <w:keepNext/>
              <w:spacing w:line="240" w:lineRule="auto" w:after="0"/>
              <w:ind w:firstLine="0"/>
              <w:jc w:val="center"/>
            </w:pPr>
            <w:r/>
            <w:r>
              <w:rPr>
                <w:rFonts w:ascii="Times New Roman" w:hAnsi="Times New Roman"/>
                <w:b/>
                <w:sz w:val="22"/>
              </w:rPr>
              <w:t>Власна компактна CNN</w:t>
            </w:r>
          </w:p>
        </w:tc>
      </w:tr>
      <w:tr>
        <w:trPr>
          <w:cantSplit/>
        </w:trPr>
        <w:tc>
          <w:tcPr>
            <w:tcW w:type="dxa" w:w="3061"/>
          </w:tcPr>
          <w:p>
            <w:pPr>
              <w:keepNext/>
              <w:spacing w:line="240" w:lineRule="auto" w:after="0"/>
              <w:ind w:firstLine="0"/>
            </w:pPr>
            <w:r/>
            <w:r>
              <w:rPr>
                <w:rFonts w:ascii="Times New Roman" w:hAnsi="Times New Roman"/>
                <w:sz w:val="22"/>
              </w:rPr>
              <w:t>Якість виявлення затемнень</w:t>
            </w:r>
          </w:p>
        </w:tc>
        <w:tc>
          <w:tcPr>
            <w:tcW w:type="dxa" w:w="2041"/>
          </w:tcPr>
          <w:p>
            <w:pPr>
              <w:keepNext/>
              <w:spacing w:line="240" w:lineRule="auto" w:after="0"/>
              <w:ind w:firstLine="0"/>
            </w:pPr>
            <w:r/>
            <w:r>
              <w:rPr>
                <w:rFonts w:ascii="Times New Roman" w:hAnsi="Times New Roman"/>
                <w:sz w:val="22"/>
              </w:rPr>
              <w:t>Недостатня</w:t>
            </w:r>
          </w:p>
        </w:tc>
        <w:tc>
          <w:tcPr>
            <w:tcW w:type="dxa" w:w="2268"/>
          </w:tcPr>
          <w:p>
            <w:pPr>
              <w:keepNext/>
              <w:spacing w:line="240" w:lineRule="auto" w:after="0"/>
              <w:ind w:firstLine="0"/>
            </w:pPr>
            <w:r/>
            <w:r>
              <w:rPr>
                <w:rFonts w:ascii="Times New Roman" w:hAnsi="Times New Roman"/>
                <w:sz w:val="22"/>
              </w:rPr>
              <w:t>Висока</w:t>
            </w:r>
          </w:p>
        </w:tc>
        <w:tc>
          <w:tcPr>
            <w:tcW w:type="dxa" w:w="2268"/>
          </w:tcPr>
          <w:p>
            <w:pPr>
              <w:keepNext/>
              <w:spacing w:line="240" w:lineRule="auto" w:after="0"/>
              <w:ind w:firstLine="0"/>
            </w:pPr>
            <w:r/>
            <w:r>
              <w:rPr>
                <w:rFonts w:ascii="Times New Roman" w:hAnsi="Times New Roman"/>
                <w:sz w:val="22"/>
              </w:rPr>
              <w:t>Висока</w:t>
            </w:r>
          </w:p>
        </w:tc>
      </w:tr>
      <w:tr>
        <w:trPr>
          <w:cantSplit/>
        </w:trPr>
        <w:tc>
          <w:tcPr>
            <w:tcW w:type="dxa" w:w="3061"/>
          </w:tcPr>
          <w:p>
            <w:pPr>
              <w:keepNext/>
              <w:spacing w:line="240" w:lineRule="auto" w:after="0"/>
              <w:ind w:firstLine="0"/>
            </w:pPr>
            <w:r/>
            <w:r>
              <w:rPr>
                <w:rFonts w:ascii="Times New Roman" w:hAnsi="Times New Roman"/>
                <w:sz w:val="22"/>
              </w:rPr>
              <w:t>Одноканальний вхід без дублювання</w:t>
            </w:r>
          </w:p>
        </w:tc>
        <w:tc>
          <w:tcPr>
            <w:tcW w:type="dxa" w:w="2041"/>
          </w:tcPr>
          <w:p>
            <w:pPr>
              <w:keepNext/>
              <w:spacing w:line="240" w:lineRule="auto" w:after="0"/>
              <w:ind w:firstLine="0"/>
            </w:pPr>
            <w:r/>
            <w:r>
              <w:rPr>
                <w:rFonts w:ascii="Times New Roman" w:hAnsi="Times New Roman"/>
                <w:sz w:val="22"/>
              </w:rPr>
              <w:t>Так</w:t>
            </w:r>
          </w:p>
        </w:tc>
        <w:tc>
          <w:tcPr>
            <w:tcW w:type="dxa" w:w="2268"/>
          </w:tcPr>
          <w:p>
            <w:pPr>
              <w:keepNext/>
              <w:spacing w:line="240" w:lineRule="auto" w:after="0"/>
              <w:ind w:firstLine="0"/>
            </w:pPr>
            <w:r/>
            <w:r>
              <w:rPr>
                <w:rFonts w:ascii="Times New Roman" w:hAnsi="Times New Roman"/>
                <w:sz w:val="22"/>
              </w:rPr>
              <w:t>Ні</w:t>
            </w:r>
          </w:p>
        </w:tc>
        <w:tc>
          <w:tcPr>
            <w:tcW w:type="dxa" w:w="2268"/>
          </w:tcPr>
          <w:p>
            <w:pPr>
              <w:keepNext/>
              <w:spacing w:line="240" w:lineRule="auto" w:after="0"/>
              <w:ind w:firstLine="0"/>
            </w:pPr>
            <w:r/>
            <w:r>
              <w:rPr>
                <w:rFonts w:ascii="Times New Roman" w:hAnsi="Times New Roman"/>
                <w:sz w:val="22"/>
              </w:rPr>
              <w:t>Так</w:t>
            </w:r>
          </w:p>
        </w:tc>
      </w:tr>
      <w:tr>
        <w:trPr>
          <w:cantSplit/>
        </w:trPr>
        <w:tc>
          <w:tcPr>
            <w:tcW w:type="dxa" w:w="3061"/>
          </w:tcPr>
          <w:p>
            <w:pPr>
              <w:keepNext/>
              <w:spacing w:line="240" w:lineRule="auto" w:after="0"/>
              <w:ind w:firstLine="0"/>
            </w:pPr>
            <w:r/>
            <w:r>
              <w:rPr>
                <w:rFonts w:ascii="Times New Roman" w:hAnsi="Times New Roman"/>
                <w:sz w:val="22"/>
              </w:rPr>
              <w:t>Робота з вихідним форматом DICOM</w:t>
            </w:r>
          </w:p>
        </w:tc>
        <w:tc>
          <w:tcPr>
            <w:tcW w:type="dxa" w:w="2041"/>
          </w:tcPr>
          <w:p>
            <w:pPr>
              <w:keepNext/>
              <w:spacing w:line="240" w:lineRule="auto" w:after="0"/>
              <w:ind w:firstLine="0"/>
            </w:pPr>
            <w:r/>
            <w:r>
              <w:rPr>
                <w:rFonts w:ascii="Times New Roman" w:hAnsi="Times New Roman"/>
                <w:sz w:val="22"/>
              </w:rPr>
              <w:t>Так</w:t>
            </w:r>
          </w:p>
        </w:tc>
        <w:tc>
          <w:tcPr>
            <w:tcW w:type="dxa" w:w="2268"/>
          </w:tcPr>
          <w:p>
            <w:pPr>
              <w:keepNext/>
              <w:spacing w:line="240" w:lineRule="auto" w:after="0"/>
              <w:ind w:firstLine="0"/>
            </w:pPr>
            <w:r/>
            <w:r>
              <w:rPr>
                <w:rFonts w:ascii="Times New Roman" w:hAnsi="Times New Roman"/>
                <w:sz w:val="22"/>
              </w:rPr>
              <w:t>Не розглядається</w:t>
            </w:r>
          </w:p>
        </w:tc>
        <w:tc>
          <w:tcPr>
            <w:tcW w:type="dxa" w:w="2268"/>
          </w:tcPr>
          <w:p>
            <w:pPr>
              <w:keepNext/>
              <w:spacing w:line="240" w:lineRule="auto" w:after="0"/>
              <w:ind w:firstLine="0"/>
            </w:pPr>
            <w:r/>
            <w:r>
              <w:rPr>
                <w:rFonts w:ascii="Times New Roman" w:hAnsi="Times New Roman"/>
                <w:sz w:val="22"/>
              </w:rPr>
              <w:t>Так</w:t>
            </w:r>
          </w:p>
        </w:tc>
      </w:tr>
      <w:tr>
        <w:trPr>
          <w:cantSplit/>
        </w:trPr>
        <w:tc>
          <w:tcPr>
            <w:tcW w:type="dxa" w:w="3061"/>
          </w:tcPr>
          <w:p>
            <w:pPr>
              <w:keepNext/>
              <w:spacing w:line="240" w:lineRule="auto" w:after="0"/>
              <w:ind w:firstLine="0"/>
            </w:pPr>
            <w:r/>
            <w:r>
              <w:rPr>
                <w:rFonts w:ascii="Times New Roman" w:hAnsi="Times New Roman"/>
                <w:sz w:val="22"/>
              </w:rPr>
              <w:t>Обсяг моделі, придатний для мобільного пристрою</w:t>
            </w:r>
          </w:p>
        </w:tc>
        <w:tc>
          <w:tcPr>
            <w:tcW w:type="dxa" w:w="2041"/>
          </w:tcPr>
          <w:p>
            <w:pPr>
              <w:keepNext/>
              <w:spacing w:line="240" w:lineRule="auto" w:after="0"/>
              <w:ind w:firstLine="0"/>
            </w:pPr>
            <w:r/>
            <w:r>
              <w:rPr>
                <w:rFonts w:ascii="Times New Roman" w:hAnsi="Times New Roman"/>
                <w:sz w:val="22"/>
              </w:rPr>
              <w:t>Так</w:t>
            </w:r>
          </w:p>
        </w:tc>
        <w:tc>
          <w:tcPr>
            <w:tcW w:type="dxa" w:w="2268"/>
          </w:tcPr>
          <w:p>
            <w:pPr>
              <w:keepNext/>
              <w:spacing w:line="240" w:lineRule="auto" w:after="0"/>
              <w:ind w:firstLine="0"/>
            </w:pPr>
            <w:r/>
            <w:r>
              <w:rPr>
                <w:rFonts w:ascii="Times New Roman" w:hAnsi="Times New Roman"/>
                <w:sz w:val="22"/>
              </w:rPr>
              <w:t>Ні</w:t>
            </w:r>
          </w:p>
        </w:tc>
        <w:tc>
          <w:tcPr>
            <w:tcW w:type="dxa" w:w="2268"/>
          </w:tcPr>
          <w:p>
            <w:pPr>
              <w:keepNext/>
              <w:spacing w:line="240" w:lineRule="auto" w:after="0"/>
              <w:ind w:firstLine="0"/>
            </w:pPr>
            <w:r/>
            <w:r>
              <w:rPr>
                <w:rFonts w:ascii="Times New Roman" w:hAnsi="Times New Roman"/>
                <w:sz w:val="22"/>
              </w:rPr>
              <w:t>Так</w:t>
            </w:r>
          </w:p>
        </w:tc>
      </w:tr>
      <w:tr>
        <w:trPr>
          <w:cantSplit/>
        </w:trPr>
        <w:tc>
          <w:tcPr>
            <w:tcW w:type="dxa" w:w="3061"/>
          </w:tcPr>
          <w:p>
            <w:pPr>
              <w:keepNext/>
              <w:spacing w:line="240" w:lineRule="auto" w:after="0"/>
              <w:ind w:firstLine="0"/>
            </w:pPr>
            <w:r/>
            <w:r>
              <w:rPr>
                <w:rFonts w:ascii="Times New Roman" w:hAnsi="Times New Roman"/>
                <w:sz w:val="22"/>
              </w:rPr>
              <w:t>Вбудована інтерпретація результату</w:t>
            </w:r>
          </w:p>
        </w:tc>
        <w:tc>
          <w:tcPr>
            <w:tcW w:type="dxa" w:w="2041"/>
          </w:tcPr>
          <w:p>
            <w:pPr>
              <w:keepNext/>
              <w:spacing w:line="240" w:lineRule="auto" w:after="0"/>
              <w:ind w:firstLine="0"/>
            </w:pPr>
            <w:r/>
            <w:r>
              <w:rPr>
                <w:rFonts w:ascii="Times New Roman" w:hAnsi="Times New Roman"/>
                <w:sz w:val="22"/>
              </w:rPr>
              <w:t>Часткова</w:t>
            </w:r>
          </w:p>
        </w:tc>
        <w:tc>
          <w:tcPr>
            <w:tcW w:type="dxa" w:w="2268"/>
          </w:tcPr>
          <w:p>
            <w:pPr>
              <w:keepNext/>
              <w:spacing w:line="240" w:lineRule="auto" w:after="0"/>
              <w:ind w:firstLine="0"/>
            </w:pPr>
            <w:r/>
            <w:r>
              <w:rPr>
                <w:rFonts w:ascii="Times New Roman" w:hAnsi="Times New Roman"/>
                <w:sz w:val="22"/>
              </w:rPr>
              <w:t>Потребує окремої надбудови</w:t>
            </w:r>
          </w:p>
        </w:tc>
        <w:tc>
          <w:tcPr>
            <w:tcW w:type="dxa" w:w="2268"/>
          </w:tcPr>
          <w:p>
            <w:pPr>
              <w:keepNext/>
              <w:spacing w:line="240" w:lineRule="auto" w:after="0"/>
              <w:ind w:firstLine="0"/>
            </w:pPr>
            <w:r/>
            <w:r>
              <w:rPr>
                <w:rFonts w:ascii="Times New Roman" w:hAnsi="Times New Roman"/>
                <w:sz w:val="22"/>
              </w:rPr>
              <w:t>Так, через шар GAP</w:t>
            </w:r>
          </w:p>
        </w:tc>
      </w:tr>
      <w:tr>
        <w:trPr>
          <w:cantSplit/>
        </w:trPr>
        <w:tc>
          <w:tcPr>
            <w:tcW w:type="dxa" w:w="3061"/>
          </w:tcPr>
          <w:p>
            <w:pPr>
              <w:spacing w:line="240" w:lineRule="auto" w:after="0"/>
              <w:ind w:firstLine="0"/>
            </w:pPr>
            <w:r/>
            <w:r>
              <w:rPr>
                <w:rFonts w:ascii="Times New Roman" w:hAnsi="Times New Roman"/>
                <w:sz w:val="22"/>
              </w:rPr>
              <w:t>Самостійність наукового результату</w:t>
            </w:r>
          </w:p>
        </w:tc>
        <w:tc>
          <w:tcPr>
            <w:tcW w:type="dxa" w:w="2041"/>
          </w:tcPr>
          <w:p>
            <w:pPr>
              <w:spacing w:line="240" w:lineRule="auto" w:after="0"/>
              <w:ind w:firstLine="0"/>
            </w:pPr>
            <w:r/>
            <w:r>
              <w:rPr>
                <w:rFonts w:ascii="Times New Roman" w:hAnsi="Times New Roman"/>
                <w:sz w:val="22"/>
              </w:rPr>
              <w:t>Ні</w:t>
            </w:r>
          </w:p>
        </w:tc>
        <w:tc>
          <w:tcPr>
            <w:tcW w:type="dxa" w:w="2268"/>
          </w:tcPr>
          <w:p>
            <w:pPr>
              <w:spacing w:line="240" w:lineRule="auto" w:after="0"/>
              <w:ind w:firstLine="0"/>
            </w:pPr>
            <w:r/>
            <w:r>
              <w:rPr>
                <w:rFonts w:ascii="Times New Roman" w:hAnsi="Times New Roman"/>
                <w:sz w:val="22"/>
              </w:rPr>
              <w:t>Ні</w:t>
            </w:r>
          </w:p>
        </w:tc>
        <w:tc>
          <w:tcPr>
            <w:tcW w:type="dxa" w:w="2268"/>
          </w:tcPr>
          <w:p>
            <w:pPr>
              <w:spacing w:line="240" w:lineRule="auto" w:after="0"/>
              <w:ind w:firstLine="0"/>
            </w:pPr>
            <w:r/>
            <w:r>
              <w:rPr>
                <w:rFonts w:ascii="Times New Roman" w:hAnsi="Times New Roman"/>
                <w:sz w:val="22"/>
              </w:rPr>
              <w:t>Так</w:t>
            </w:r>
          </w:p>
        </w:tc>
      </w:tr>
    </w:tbl>
    <w:p>
      <w:pPr>
        <w:spacing w:after="120"/>
        <w:ind w:firstLine="0"/>
        <w:jc w:val="both"/>
      </w:pPr>
      <w:r>
        <w:rPr>
          <w:rFonts w:ascii="Times New Roman" w:hAnsi="Times New Roman"/>
          <w:b w:val="0"/>
          <w:i w:val="0"/>
        </w:rPr>
      </w:r>
    </w:p>
    <w:p>
      <w:pPr>
        <w:spacing w:after="0"/>
        <w:ind w:firstLine="850"/>
        <w:jc w:val="both"/>
      </w:pPr>
      <w:r>
        <w:rPr>
          <w:rFonts w:ascii="Times New Roman" w:hAnsi="Times New Roman"/>
          <w:b w:val="0"/>
          <w:i w:val="0"/>
        </w:rPr>
        <w:t>Об'єктом дослідження є процес автоматизованого виявлення ознак легеневого затемнення на цифрових рентгенограмах органів грудної клітки.</w:t>
      </w:r>
    </w:p>
    <w:p>
      <w:pPr>
        <w:spacing w:after="0"/>
        <w:ind w:firstLine="850"/>
        <w:jc w:val="both"/>
      </w:pPr>
      <w:r>
        <w:rPr>
          <w:rFonts w:ascii="Times New Roman" w:hAnsi="Times New Roman"/>
          <w:b w:val="0"/>
          <w:i w:val="0"/>
        </w:rPr>
        <w:t>Предметом дослідження є моделі, методи та програмні засоби бінарної класифікації рентгенограм на основі власної згорткової нейронної мережі, навченої з нуля, а також методи візуальної інтерпретації її рішень та їх перенесення у середовище мобільного пристрою.</w:t>
      </w:r>
    </w:p>
    <w:p>
      <w:pPr>
        <w:spacing w:after="0"/>
        <w:ind w:firstLine="850"/>
        <w:jc w:val="both"/>
      </w:pPr>
      <w:r>
        <w:rPr>
          <w:rFonts w:ascii="Times New Roman" w:hAnsi="Times New Roman"/>
          <w:b w:val="0"/>
          <w:i w:val="0"/>
        </w:rPr>
        <w:t>Метою роботи є підвищення доступності первинного аналізу рентгенограм органів грудної клітки шляхом розроблення власної компактної згорткової архітектури для виявлення легеневого затемнення та мобільного застосунку, що виконує цю модель локально, офлайн, з візуальним поясненням результату.</w:t>
      </w:r>
    </w:p>
    <w:p>
      <w:pPr>
        <w:spacing w:after="0"/>
        <w:ind w:firstLine="850"/>
        <w:jc w:val="both"/>
      </w:pPr>
      <w:r>
        <w:rPr>
          <w:rFonts w:ascii="Times New Roman" w:hAnsi="Times New Roman"/>
          <w:b w:val="0"/>
          <w:i w:val="0"/>
        </w:rPr>
        <w:t>Формально задача ставиться так. Нехай задано множину рентгенограм X та відповідних міток Y = {0, 1}, де значення 1 відповідає наявності легеневого затемнення (клас «Lung Opacity»), а значення 0 — його відсутності (класи «Normal» та «No Lung Opacity / Not Normal»). Потрібно побудувати відображення</w:t>
      </w:r>
    </w:p>
    <w:p>
      <w:pPr>
        <w:spacing w:after="0" w:line="360" w:lineRule="auto"/>
        <w:ind w:firstLine="0"/>
      </w:pPr>
    </w:p>
    <w:p>
      <w:pPr>
        <w:tabs>
          <w:tab w:pos="4819" w:val="center"/>
          <w:tab w:pos="9638" w:val="right"/>
        </w:tabs>
        <w:spacing w:before="0" w:after="0" w:line="360" w:lineRule="auto"/>
        <w:ind w:firstLine="0"/>
      </w:pPr>
      <w:r>
        <w:rPr>
          <w:rFonts w:ascii="Times New Roman" w:hAnsi="Times New Roman"/>
          <w:i/>
          <w:sz w:val="28"/>
        </w:rPr>
        <w:tab/>
        <w:t>F: X → [0, 1],   F(x) = σ( g( h(x; θh) ); θg )</w:t>
        <w:tab/>
        <w:t>(1.12)</w:t>
      </w:r>
    </w:p>
    <w:p>
      <w:pPr>
        <w:spacing w:after="0" w:line="360" w:lineRule="auto"/>
        <w:ind w:firstLine="0"/>
      </w:pPr>
    </w:p>
    <w:p>
      <w:pPr>
        <w:spacing w:after="0"/>
        <w:ind w:firstLine="0"/>
        <w:jc w:val="both"/>
      </w:pPr>
      <w:r>
        <w:rPr>
          <w:rFonts w:ascii="Times New Roman" w:hAnsi="Times New Roman"/>
          <w:b w:val="0"/>
          <w:i w:val="0"/>
        </w:rPr>
        <w:t>де</w:t>
      </w:r>
    </w:p>
    <w:p>
      <w:pPr>
        <w:spacing w:after="0"/>
        <w:ind w:firstLine="0" w:left="850"/>
        <w:jc w:val="both"/>
      </w:pPr>
      <w:r>
        <w:rPr>
          <w:rFonts w:ascii="Times New Roman" w:hAnsi="Times New Roman"/>
          <w:b w:val="0"/>
          <w:i w:val="0"/>
        </w:rPr>
        <w:t>h — згортковий екстрактор ознак з параметрами θh;</w:t>
      </w:r>
    </w:p>
    <w:p>
      <w:pPr>
        <w:spacing w:after="0"/>
        <w:ind w:firstLine="0" w:left="850"/>
        <w:jc w:val="both"/>
      </w:pPr>
      <w:r>
        <w:rPr>
          <w:rFonts w:ascii="Times New Roman" w:hAnsi="Times New Roman"/>
          <w:b w:val="0"/>
          <w:i w:val="0"/>
        </w:rPr>
        <w:t>g — лінійний класифікатор з параметрами θg;</w:t>
      </w:r>
    </w:p>
    <w:p>
      <w:pPr>
        <w:spacing w:after="0"/>
        <w:ind w:firstLine="0" w:left="850"/>
        <w:jc w:val="both"/>
      </w:pPr>
      <w:r>
        <w:rPr>
          <w:rFonts w:ascii="Times New Roman" w:hAnsi="Times New Roman"/>
          <w:b w:val="0"/>
          <w:i w:val="0"/>
        </w:rPr>
        <w:t>σ — логістична функція;</w:t>
      </w:r>
    </w:p>
    <w:p>
      <w:pPr>
        <w:spacing w:after="0"/>
        <w:ind w:firstLine="0" w:left="850"/>
        <w:jc w:val="both"/>
      </w:pPr>
      <w:r>
        <w:rPr>
          <w:rFonts w:ascii="Times New Roman" w:hAnsi="Times New Roman"/>
          <w:b w:val="0"/>
          <w:i w:val="0"/>
        </w:rPr>
        <w:t>F(x) — прогнозована ймовірність наявності затемнення на знімку x.</w:t>
      </w:r>
    </w:p>
    <w:p>
      <w:pPr>
        <w:spacing w:after="0"/>
        <w:ind w:firstLine="850"/>
        <w:jc w:val="both"/>
      </w:pPr>
      <w:r>
        <w:rPr>
          <w:rFonts w:ascii="Times New Roman" w:hAnsi="Times New Roman"/>
          <w:b w:val="0"/>
          <w:i w:val="0"/>
        </w:rPr>
        <w:t>Параметри θ = (θh, θg) визначаються мінімізацією функції втрат (1.6) на навчальній вибірці, а відбір остаточної моделі здійснюється за максимумом ROC-AUC на валідаційній вибірці. Додатково для кожного знімка має бути обчислена карта активації класу (1.7), що локалізує ділянки, які визначили рішення моделі.</w:t>
      </w:r>
    </w:p>
    <w:p>
      <w:pPr>
        <w:spacing w:after="0"/>
        <w:ind w:firstLine="850"/>
        <w:jc w:val="both"/>
      </w:pPr>
      <w:r>
        <w:rPr>
          <w:rFonts w:ascii="Times New Roman" w:hAnsi="Times New Roman"/>
          <w:b w:val="0"/>
          <w:i w:val="0"/>
        </w:rPr>
        <w:t>Для досягнення поставленої мети необхідно розв'язати такі завдання:</w:t>
      </w:r>
    </w:p>
    <w:p>
      <w:pPr>
        <w:pStyle w:val="ListBullet"/>
        <w:spacing w:line="360" w:lineRule="auto" w:after="0"/>
        <w:ind w:firstLine="0" w:left="850"/>
        <w:jc w:val="both"/>
      </w:pPr>
      <w:r>
        <w:rPr>
          <w:rFonts w:ascii="Times New Roman" w:hAnsi="Times New Roman"/>
          <w:sz w:val="28"/>
        </w:rPr>
        <w:t>проаналізувати предметну область, наявні набори даних та методи автоматизованого аналізу рентгенограм органів грудної клітки;</w:t>
      </w:r>
    </w:p>
    <w:p>
      <w:pPr>
        <w:pStyle w:val="ListBullet"/>
        <w:spacing w:line="360" w:lineRule="auto" w:after="0"/>
        <w:ind w:firstLine="0" w:left="850"/>
        <w:jc w:val="both"/>
      </w:pPr>
      <w:r>
        <w:rPr>
          <w:rFonts w:ascii="Times New Roman" w:hAnsi="Times New Roman"/>
          <w:sz w:val="28"/>
        </w:rPr>
        <w:t>розробити конвеєр підготовки даних з коректним опрацюванням формату DICOM та поділом вибірки на рівні пацієнта;</w:t>
      </w:r>
    </w:p>
    <w:p>
      <w:pPr>
        <w:pStyle w:val="ListBullet"/>
        <w:spacing w:line="360" w:lineRule="auto" w:after="0"/>
        <w:ind w:firstLine="0" w:left="850"/>
        <w:jc w:val="both"/>
      </w:pPr>
      <w:r>
        <w:rPr>
          <w:rFonts w:ascii="Times New Roman" w:hAnsi="Times New Roman"/>
          <w:sz w:val="28"/>
        </w:rPr>
        <w:t>спроєктувати власну згорткову архітектуру, орієнтовану на одноканальний вхід, та обґрунтувати її структурні рішення;</w:t>
      </w:r>
    </w:p>
    <w:p>
      <w:pPr>
        <w:pStyle w:val="ListBullet"/>
        <w:spacing w:line="360" w:lineRule="auto" w:after="0"/>
        <w:ind w:firstLine="0" w:left="850"/>
        <w:jc w:val="both"/>
      </w:pPr>
      <w:r>
        <w:rPr>
          <w:rFonts w:ascii="Times New Roman" w:hAnsi="Times New Roman"/>
          <w:sz w:val="28"/>
        </w:rPr>
        <w:t>навчити модель з нуля, дослідити вплив дисбалансу класів і виконати відбір робочого порога за валідаційною вибіркою;</w:t>
      </w:r>
    </w:p>
    <w:p>
      <w:pPr>
        <w:pStyle w:val="ListBullet"/>
        <w:spacing w:line="360" w:lineRule="auto" w:after="0"/>
        <w:ind w:firstLine="0" w:left="850"/>
        <w:jc w:val="both"/>
      </w:pPr>
      <w:r>
        <w:rPr>
          <w:rFonts w:ascii="Times New Roman" w:hAnsi="Times New Roman"/>
          <w:sz w:val="28"/>
        </w:rPr>
        <w:t>оцінити якість моделі на незалежній тестовій вибірці та проаналізувати структуру її помилок;</w:t>
      </w:r>
    </w:p>
    <w:p>
      <w:pPr>
        <w:pStyle w:val="ListBullet"/>
        <w:spacing w:line="360" w:lineRule="auto" w:after="0"/>
        <w:ind w:firstLine="0" w:left="850"/>
        <w:jc w:val="both"/>
      </w:pPr>
      <w:r>
        <w:rPr>
          <w:rFonts w:ascii="Times New Roman" w:hAnsi="Times New Roman"/>
          <w:sz w:val="28"/>
        </w:rPr>
        <w:t>реалізувати метод візуальної інтерпретації результату на основі карт активації класів;</w:t>
      </w:r>
    </w:p>
    <w:p>
      <w:pPr>
        <w:pStyle w:val="ListBullet"/>
        <w:spacing w:line="360" w:lineRule="auto" w:after="0"/>
        <w:ind w:firstLine="0" w:left="850"/>
        <w:jc w:val="both"/>
      </w:pPr>
      <w:r>
        <w:rPr>
          <w:rFonts w:ascii="Times New Roman" w:hAnsi="Times New Roman"/>
          <w:sz w:val="28"/>
        </w:rPr>
        <w:t>експортувати модель у проміжний формат, розробити мобільний застосунок, що виконує її локально та читає вихідний формат DICOM, і кількісно підтвердити відтворюваність прогнозу на обох шляхах надходження зображення.</w:t>
      </w:r>
    </w:p>
    <w:p>
      <w:pPr>
        <w:spacing w:after="0"/>
        <w:ind w:firstLine="850"/>
        <w:jc w:val="both"/>
      </w:pPr>
      <w:r>
        <w:rPr>
          <w:rFonts w:ascii="Times New Roman" w:hAnsi="Times New Roman"/>
          <w:b w:val="0"/>
          <w:i w:val="0"/>
        </w:rPr>
        <w:t>Узагальнену схему системи, що розробляється, наведено на рис. 1.4.</w:t>
      </w:r>
    </w:p>
    <w:p>
      <w:pPr>
        <w:keepNext/>
        <w:spacing w:before="120"/>
        <w:ind w:firstLine="0"/>
        <w:jc w:val="center"/>
      </w:pPr>
      <w:r>
        <w:drawing>
          <wp:inline xmlns:a="http://schemas.openxmlformats.org/drawingml/2006/main" xmlns:pic="http://schemas.openxmlformats.org/drawingml/2006/picture">
            <wp:extent cx="5400000" cy="3048084"/>
            <wp:docPr id="4" name="Picture 4"/>
            <wp:cNvGraphicFramePr>
              <a:graphicFrameLocks noChangeAspect="1"/>
            </wp:cNvGraphicFramePr>
            <a:graphic>
              <a:graphicData uri="http://schemas.openxmlformats.org/drawingml/2006/picture">
                <pic:pic>
                  <pic:nvPicPr>
                    <pic:cNvPr id="0" name="fig_1_4_system.png"/>
                    <pic:cNvPicPr/>
                  </pic:nvPicPr>
                  <pic:blipFill>
                    <a:blip r:embed="rId13"/>
                    <a:stretch>
                      <a:fillRect/>
                    </a:stretch>
                  </pic:blipFill>
                  <pic:spPr>
                    <a:xfrm>
                      <a:off x="0" y="0"/>
                      <a:ext cx="5400000" cy="3048084"/>
                    </a:xfrm>
                    <a:prstGeom prst="rect"/>
                  </pic:spPr>
                </pic:pic>
              </a:graphicData>
            </a:graphic>
          </wp:inline>
        </w:drawing>
      </w:r>
    </w:p>
    <w:p>
      <w:pPr>
        <w:spacing w:after="200" w:line="240" w:lineRule="auto"/>
        <w:ind w:firstLine="0"/>
        <w:jc w:val="center"/>
      </w:pPr>
      <w:r>
        <w:rPr>
          <w:rFonts w:ascii="Times New Roman" w:hAnsi="Times New Roman"/>
          <w:b w:val="0"/>
          <w:i w:val="0"/>
          <w:sz w:val="26"/>
        </w:rPr>
        <w:t>Рис. 1.4. Узагальнена схема системи автоматизованого аналізу рентгенограм, що розробляється</w:t>
      </w:r>
    </w:p>
    <w:p>
      <w:pPr>
        <w:spacing w:after="0"/>
        <w:ind w:firstLine="850"/>
        <w:jc w:val="both"/>
      </w:pPr>
      <w:r>
        <w:rPr>
          <w:rFonts w:ascii="Times New Roman" w:hAnsi="Times New Roman"/>
          <w:b w:val="0"/>
          <w:i w:val="0"/>
        </w:rPr>
        <w:t>Межі дослідження визначено таким чином. Система розв'язує задачу бінарної класифікації, а не детекції з обмежувальними прямокутниками чи семантичної сегментації; локалізація забезпечується тепловою картою як засобом пояснення. Система не встановлює діагноз і не замінює лікаря, а виконує функцію допоміжного інструменту первинного відбору. Розрізнення конкретної етіології затемнення (бактеріальна, вірусна пневмонія, набряк легень тощо) виходить за межі роботи, оскільки відповідна інформація відсутня у розмітці обраного набору даних.</w:t>
      </w:r>
    </w:p>
    <w:p>
      <w:pPr>
        <w:spacing w:after="0"/>
        <w:ind w:firstLine="0"/>
        <w:jc w:val="both"/>
      </w:pPr>
      <w:r>
        <w:rPr>
          <w:rFonts w:ascii="Times New Roman" w:hAnsi="Times New Roman"/>
          <w:b w:val="0"/>
          <w:i w:val="0"/>
        </w:rPr>
      </w:r>
    </w:p>
    <w:p>
      <w:pPr>
        <w:keepNext/>
        <w:spacing w:after="120"/>
        <w:ind w:firstLine="850"/>
        <w:jc w:val="both"/>
      </w:pPr>
      <w:r>
        <w:rPr>
          <w:rFonts w:ascii="Times New Roman" w:hAnsi="Times New Roman"/>
          <w:b/>
          <w:i w:val="0"/>
        </w:rPr>
        <w:t>Висновки до розділу 1</w:t>
      </w:r>
    </w:p>
    <w:p>
      <w:pPr>
        <w:spacing w:after="0"/>
        <w:ind w:firstLine="850"/>
        <w:jc w:val="both"/>
      </w:pPr>
      <w:r>
        <w:rPr>
          <w:rFonts w:ascii="Times New Roman" w:hAnsi="Times New Roman"/>
          <w:b w:val="0"/>
          <w:i w:val="0"/>
        </w:rPr>
        <w:t>1. Показано медико-соціальну значущість задачі автоматизованого аналізу рентгенограм органів грудної клітки: пневмонія залишається провідною інфекційною причиною смертності, рентгенографія є основним методом підтвердження діагнозу, а доступність кваліфікованої інтерпретації знімків суттєво обмежена. Обмежена міжекспертна узгодженість інтерпретації (каппа приблизно 0,4–0,7) додатково обґрунтовує потребу в інструменті надання другої думки.</w:t>
      </w:r>
    </w:p>
    <w:p>
      <w:pPr>
        <w:spacing w:after="0"/>
        <w:ind w:firstLine="850"/>
        <w:jc w:val="both"/>
      </w:pPr>
      <w:r>
        <w:rPr>
          <w:rFonts w:ascii="Times New Roman" w:hAnsi="Times New Roman"/>
          <w:b w:val="0"/>
          <w:i w:val="0"/>
        </w:rPr>
        <w:t>2. Проаналізовано класичні методи аналізу медичних зображень — порогову сегментацію, текстурні ознаки Харалика, локальні бінарні шаблони, гістограми орієнтованих градієнтів у поєднанні з методом опорних векторів. Встановлено, що їхнє принципове обмеження полягає в апріорному, заданому вручну способі опису зображення, який не відповідає природі пневмонічної інфільтрації, що не має стабільної форми, розміру та чітких меж.</w:t>
      </w:r>
    </w:p>
    <w:p>
      <w:pPr>
        <w:spacing w:after="0"/>
        <w:ind w:firstLine="850"/>
        <w:jc w:val="both"/>
      </w:pPr>
      <w:r>
        <w:rPr>
          <w:rFonts w:ascii="Times New Roman" w:hAnsi="Times New Roman"/>
          <w:b w:val="0"/>
          <w:i w:val="0"/>
        </w:rPr>
        <w:t>3. Розглянуто математичні основи та еволюцію згорткових нейронних мереж і виокремлено конструктивні принципи, придатні для проєктування власної архітектури: стек ядер 3×3, пакетна нормалізація, глобальне усереднення замість масивного повнозв'язного класифікатора, узгоджене зростання кількості каналів. На підставі результатів порівняння трансферного навчання з навчанням з нуля обґрунтовано доцільність розроблення власної компактної мережі, орієнтованої на одноканальний вхід.</w:t>
      </w:r>
    </w:p>
    <w:p>
      <w:pPr>
        <w:spacing w:after="0"/>
        <w:ind w:firstLine="850"/>
        <w:jc w:val="both"/>
      </w:pPr>
      <w:r>
        <w:rPr>
          <w:rFonts w:ascii="Times New Roman" w:hAnsi="Times New Roman"/>
          <w:b w:val="0"/>
          <w:i w:val="0"/>
        </w:rPr>
        <w:t>4. Обґрунтовано вибір методу інтерпретації: карти активації класів (CAM) потребують лише одного прямого проходу, не вимагають обчислення градієнтів і природно поєднуються з архітектурою, що містить шар глобального усереднення, на відміну від Grad-CAM, LIME та SHAP, обчислювальна вартість яких несумісна з виконанням на мобільному пристрої.</w:t>
      </w:r>
    </w:p>
    <w:p>
      <w:pPr>
        <w:spacing w:after="0"/>
        <w:ind w:firstLine="850"/>
        <w:jc w:val="both"/>
      </w:pPr>
      <w:r>
        <w:rPr>
          <w:rFonts w:ascii="Times New Roman" w:hAnsi="Times New Roman"/>
          <w:b w:val="0"/>
          <w:i w:val="0"/>
        </w:rPr>
        <w:t>5. Обґрунтовано вибір набору даних RSNA Pneumonia Detection Challenge 2018 за критеріями збереження формату DICOM, експертної розмітки затемнень, наявності трьох класів та багатоцентрового походження. Визначено систему метрик оцінювання (ROC-AUC, AUPRC, чутливість, специфічність, F1-міра) та вимогу поділу вибірки на рівні пацієнта з одноразовим використанням тестової підвибірки.</w:t>
      </w:r>
    </w:p>
    <w:p>
      <w:pPr>
        <w:spacing w:after="0"/>
        <w:ind w:firstLine="850"/>
        <w:jc w:val="both"/>
      </w:pPr>
      <w:r>
        <w:rPr>
          <w:rFonts w:ascii="Times New Roman" w:hAnsi="Times New Roman"/>
          <w:b w:val="0"/>
          <w:i w:val="0"/>
        </w:rPr>
        <w:t>6. Розглянуто особливості локального виконання моделей на мобільних пристроях та виокремлено дві нетривіальні проблеми, які потребують кількісної перевірки й у розглянутих джерелах практично не висвітлені: паритет попередньої обробки між середовищем навчання та середовищем виконання і читання вихідного формату DICOM безпосередньо на пристрої, від якого залежать самі значення пікселів, що потрапляють до мережі.</w:t>
      </w:r>
    </w:p>
    <w:p>
      <w:pPr>
        <w:spacing w:after="0"/>
        <w:ind w:firstLine="850"/>
        <w:jc w:val="both"/>
      </w:pPr>
      <w:r>
        <w:rPr>
          <w:rFonts w:ascii="Times New Roman" w:hAnsi="Times New Roman"/>
          <w:b w:val="0"/>
          <w:i w:val="0"/>
        </w:rPr>
        <w:t>7. Сформульовано об'єкт, предмет, мету та завдання дослідження, наведено формальну постановку задачі бінарної класифікації та визначено межі роботи. Отримані результати створюють підґрунтя для розроблення методики дослідження у розділі 2.</w:t>
      </w:r>
    </w:p>
    <w:p>
      <w:r>
        <w:br w:type="page"/>
      </w:r>
    </w:p>
    <w:p>
      <w:pPr>
        <w:spacing w:after="240"/>
        <w:ind w:firstLine="0"/>
        <w:jc w:val="center"/>
      </w:pPr>
      <w:r>
        <w:rPr>
          <w:rFonts w:ascii="Times New Roman" w:hAnsi="Times New Roman"/>
          <w:b/>
          <w:i w:val="0"/>
        </w:rPr>
        <w:t>СПИСОК ВИКОРИСТАНИХ ДЖЕРЕЛ</w:t>
      </w:r>
    </w:p>
    <w:p>
      <w:pPr>
        <w:spacing w:after="40" w:line="360" w:lineRule="auto"/>
        <w:ind w:left="425" w:hanging="425"/>
        <w:jc w:val="both"/>
      </w:pPr>
      <w:r>
        <w:rPr>
          <w:rFonts w:ascii="Times New Roman" w:hAnsi="Times New Roman"/>
          <w:b w:val="0"/>
          <w:i w:val="0"/>
          <w:sz w:val="26"/>
        </w:rPr>
        <w:t>1. Pneumonia in children : fact sheet [Electronic resource] / World Health Organization. – Geneva : WHO, 2022. – Access mode: https://www.who.int/news-room/fact-sheets/detail/pneumonia.</w:t>
      </w:r>
    </w:p>
    <w:p>
      <w:pPr>
        <w:spacing w:after="40" w:line="360" w:lineRule="auto"/>
        <w:ind w:left="425" w:hanging="425"/>
        <w:jc w:val="both"/>
      </w:pPr>
      <w:r>
        <w:rPr>
          <w:rFonts w:ascii="Times New Roman" w:hAnsi="Times New Roman"/>
          <w:b w:val="0"/>
          <w:i w:val="0"/>
          <w:sz w:val="26"/>
        </w:rPr>
        <w:t>2. Estimates of the global, regional, and national morbidity, mortality, and aetiologies of lower respiratory infections / GBD 2016 Lower Respiratory Infections Collaborators // The Lancet Infectious Diseases. – 2018. – Vol. 18, No. 11. – P. 1191–1210.</w:t>
      </w:r>
    </w:p>
    <w:p>
      <w:pPr>
        <w:spacing w:after="40" w:line="360" w:lineRule="auto"/>
        <w:ind w:left="425" w:hanging="425"/>
        <w:jc w:val="both"/>
      </w:pPr>
      <w:r>
        <w:rPr>
          <w:rFonts w:ascii="Times New Roman" w:hAnsi="Times New Roman"/>
          <w:b w:val="0"/>
          <w:i w:val="0"/>
          <w:sz w:val="26"/>
        </w:rPr>
        <w:t>3. Diagnosis and Treatment of Adults with Community-acquired Pneumonia : An Official Clinical Practice Guideline of the American Thoracic Society and Infectious Diseases Society of America / J. P. Metlay, G. W. Waterer, A. C. Long [et al.] // American Journal of Respiratory and Critical Care Medicine. – 2019. – Vol. 200, No. 7. – P. e45–e67.</w:t>
      </w:r>
    </w:p>
    <w:p>
      <w:pPr>
        <w:spacing w:after="40" w:line="360" w:lineRule="auto"/>
        <w:ind w:left="425" w:hanging="425"/>
        <w:jc w:val="both"/>
      </w:pPr>
      <w:r>
        <w:rPr>
          <w:rFonts w:ascii="Times New Roman" w:hAnsi="Times New Roman"/>
          <w:b w:val="0"/>
          <w:i w:val="0"/>
          <w:sz w:val="26"/>
        </w:rPr>
        <w:t>4. Franquet T. Imaging of Community-acquired Pneumonia / T. Franquet // Journal of Thoracic Imaging. – 2018. – Vol. 33, No. 5. – P. 282–294.</w:t>
      </w:r>
    </w:p>
    <w:p>
      <w:pPr>
        <w:spacing w:after="40" w:line="360" w:lineRule="auto"/>
        <w:ind w:left="425" w:hanging="425"/>
        <w:jc w:val="both"/>
      </w:pPr>
      <w:r>
        <w:rPr>
          <w:rFonts w:ascii="Times New Roman" w:hAnsi="Times New Roman"/>
          <w:b w:val="0"/>
          <w:i w:val="0"/>
          <w:sz w:val="26"/>
        </w:rPr>
        <w:t>5. DICOM PS3.1 : Digital Imaging and Communications in Medicine (DICOM) Standard. Part 1: Introduction and Overview / National Electrical Manufacturers Association. – Rosslyn, VA : NEMA, 2023.</w:t>
      </w:r>
    </w:p>
    <w:p>
      <w:pPr>
        <w:spacing w:after="40" w:line="360" w:lineRule="auto"/>
        <w:ind w:left="425" w:hanging="425"/>
        <w:jc w:val="both"/>
      </w:pPr>
      <w:r>
        <w:rPr>
          <w:rFonts w:ascii="Times New Roman" w:hAnsi="Times New Roman"/>
          <w:b w:val="0"/>
          <w:i w:val="0"/>
          <w:sz w:val="26"/>
        </w:rPr>
        <w:t>6. Variability in the interpretation of chest radiographs for the diagnosis of pneumonia in children / M. I. Neuman, M. C. Lee, S. Gillespie [et al.] // Journal of Hospital Medicine. – 2012. – Vol. 7, No. 4. – P. 294–298.</w:t>
      </w:r>
    </w:p>
    <w:p>
      <w:pPr>
        <w:spacing w:after="40" w:line="360" w:lineRule="auto"/>
        <w:ind w:left="425" w:hanging="425"/>
        <w:jc w:val="both"/>
      </w:pPr>
      <w:r>
        <w:rPr>
          <w:rFonts w:ascii="Times New Roman" w:hAnsi="Times New Roman"/>
          <w:b w:val="0"/>
          <w:i w:val="0"/>
          <w:sz w:val="26"/>
        </w:rPr>
        <w:t>7. Interobserver reliability of the chest radiograph in community-acquired pneumonia / M. N. Albaum, L. C. Hill, M. Murphy [et al.] // Chest. – 1996. – Vol. 110, No. 2. – P. 343–350.</w:t>
      </w:r>
    </w:p>
    <w:p>
      <w:pPr>
        <w:spacing w:after="40" w:line="360" w:lineRule="auto"/>
        <w:ind w:left="425" w:hanging="425"/>
        <w:jc w:val="both"/>
      </w:pPr>
      <w:r>
        <w:rPr>
          <w:rFonts w:ascii="Times New Roman" w:hAnsi="Times New Roman"/>
          <w:b w:val="0"/>
          <w:i w:val="0"/>
          <w:sz w:val="26"/>
        </w:rPr>
        <w:t>8. Computer-aided diagnosis in chest radiography: a survey / B. van Ginneken, B. M. ter Haar Romeny, M. A. Viergever // IEEE Transactions on Medical Imaging. – 2001. – Vol. 20, No. 12. – P. 1228–1241.</w:t>
      </w:r>
    </w:p>
    <w:p>
      <w:pPr>
        <w:spacing w:after="40" w:line="360" w:lineRule="auto"/>
        <w:ind w:left="425" w:hanging="425"/>
        <w:jc w:val="both"/>
      </w:pPr>
      <w:r>
        <w:rPr>
          <w:rFonts w:ascii="Times New Roman" w:hAnsi="Times New Roman"/>
          <w:b w:val="0"/>
          <w:i w:val="0"/>
          <w:sz w:val="26"/>
        </w:rPr>
        <w:t>9. Doi K. Computer-aided diagnosis in medical imaging: historical review, current status and future potential / K. Doi // Computerized Medical Imaging and Graphics. – 2007. – Vol. 31, No. 4–5. – P. 198–211.</w:t>
      </w:r>
    </w:p>
    <w:p>
      <w:pPr>
        <w:spacing w:after="40" w:line="360" w:lineRule="auto"/>
        <w:ind w:left="425" w:hanging="425"/>
        <w:jc w:val="both"/>
      </w:pPr>
      <w:r>
        <w:rPr>
          <w:rFonts w:ascii="Times New Roman" w:hAnsi="Times New Roman"/>
          <w:b w:val="0"/>
          <w:i w:val="0"/>
          <w:sz w:val="26"/>
        </w:rPr>
        <w:t>10. Gonzalez R. C. Digital Image Processing / R. C. Gonzalez, R. E. Woods. – 4th ed. – New York : Pearson, 2018. – 1192 p.</w:t>
      </w:r>
    </w:p>
    <w:p>
      <w:pPr>
        <w:spacing w:after="40" w:line="360" w:lineRule="auto"/>
        <w:ind w:left="425" w:hanging="425"/>
        <w:jc w:val="both"/>
      </w:pPr>
      <w:r>
        <w:rPr>
          <w:rFonts w:ascii="Times New Roman" w:hAnsi="Times New Roman"/>
          <w:b w:val="0"/>
          <w:i w:val="0"/>
          <w:sz w:val="26"/>
        </w:rPr>
        <w:t>11. Otsu N. A Threshold Selection Method from Gray-Level Histograms / N. Otsu // IEEE Transactions on Systems, Man, and Cybernetics. – 1979. – Vol. 9, No. 1. – P. 62–66.</w:t>
      </w:r>
    </w:p>
    <w:p>
      <w:pPr>
        <w:spacing w:after="40" w:line="360" w:lineRule="auto"/>
        <w:ind w:left="425" w:hanging="425"/>
        <w:jc w:val="both"/>
      </w:pPr>
      <w:r>
        <w:rPr>
          <w:rFonts w:ascii="Times New Roman" w:hAnsi="Times New Roman"/>
          <w:b w:val="0"/>
          <w:i w:val="0"/>
          <w:sz w:val="26"/>
        </w:rPr>
        <w:t>12. Haralick R. M. Textural Features for Image Classification / R. M. Haralick, K. Shanmugam, I. Dinstein // IEEE Transactions on Systems, Man, and Cybernetics. – 1973. – Vol. 3, No. 6. – P. 610–621.</w:t>
      </w:r>
    </w:p>
    <w:p>
      <w:pPr>
        <w:spacing w:after="40" w:line="360" w:lineRule="auto"/>
        <w:ind w:left="425" w:hanging="425"/>
        <w:jc w:val="both"/>
      </w:pPr>
      <w:r>
        <w:rPr>
          <w:rFonts w:ascii="Times New Roman" w:hAnsi="Times New Roman"/>
          <w:b w:val="0"/>
          <w:i w:val="0"/>
          <w:sz w:val="26"/>
        </w:rPr>
        <w:t>13. Multiresolution gray-scale and rotation invariant texture classification with local binary patterns / T. Ojala, M. Pietikainen, T. Maenpaa // IEEE Transactions on Pattern Analysis and Machine Intelligence. – 2002. – Vol. 24, No. 7. – P. 971–987.</w:t>
      </w:r>
    </w:p>
    <w:p>
      <w:pPr>
        <w:spacing w:after="40" w:line="360" w:lineRule="auto"/>
        <w:ind w:left="425" w:hanging="425"/>
        <w:jc w:val="both"/>
      </w:pPr>
      <w:r>
        <w:rPr>
          <w:rFonts w:ascii="Times New Roman" w:hAnsi="Times New Roman"/>
          <w:b w:val="0"/>
          <w:i w:val="0"/>
          <w:sz w:val="26"/>
        </w:rPr>
        <w:t>14. Dalal N. Histograms of Oriented Gradients for Human Detection / N. Dalal, B. Triggs // Proceedings of the IEEE Conference on Computer Vision and Pattern Recognition (CVPR). – 2005. – P. 886–893.</w:t>
      </w:r>
    </w:p>
    <w:p>
      <w:pPr>
        <w:spacing w:after="40" w:line="360" w:lineRule="auto"/>
        <w:ind w:left="425" w:hanging="425"/>
        <w:jc w:val="both"/>
      </w:pPr>
      <w:r>
        <w:rPr>
          <w:rFonts w:ascii="Times New Roman" w:hAnsi="Times New Roman"/>
          <w:b w:val="0"/>
          <w:i w:val="0"/>
          <w:sz w:val="26"/>
        </w:rPr>
        <w:t>15. Cortes C. Support-Vector Networks / C. Cortes, V. Vapnik // Machine Learning. – 1995. – Vol. 20, No. 3. – P. 273–297.</w:t>
      </w:r>
    </w:p>
    <w:p>
      <w:pPr>
        <w:spacing w:after="40" w:line="360" w:lineRule="auto"/>
        <w:ind w:left="425" w:hanging="425"/>
        <w:jc w:val="both"/>
      </w:pPr>
      <w:r>
        <w:rPr>
          <w:rFonts w:ascii="Times New Roman" w:hAnsi="Times New Roman"/>
          <w:b w:val="0"/>
          <w:i w:val="0"/>
          <w:sz w:val="26"/>
        </w:rPr>
        <w:t>16. A survey on deep learning in medical image analysis / G. Litjens, T. Kooi, B. E. Bejnordi [et al.] // Medical Image Analysis. – 2017. – Vol. 42. – P. 60–88.</w:t>
      </w:r>
    </w:p>
    <w:p>
      <w:pPr>
        <w:spacing w:after="40" w:line="360" w:lineRule="auto"/>
        <w:ind w:left="425" w:hanging="425"/>
        <w:jc w:val="both"/>
      </w:pPr>
      <w:r>
        <w:rPr>
          <w:rFonts w:ascii="Times New Roman" w:hAnsi="Times New Roman"/>
          <w:b w:val="0"/>
          <w:i w:val="0"/>
          <w:sz w:val="26"/>
        </w:rPr>
        <w:t>17. Gradient-based learning applied to document recognition / Y. LeCun, L. Bottou, Y. Bengio, P. Haffner // Proceedings of the IEEE. – 1998. – Vol. 86, No. 11. – P. 2278–2324.</w:t>
      </w:r>
    </w:p>
    <w:p>
      <w:pPr>
        <w:spacing w:after="40" w:line="360" w:lineRule="auto"/>
        <w:ind w:left="425" w:hanging="425"/>
        <w:jc w:val="both"/>
      </w:pPr>
      <w:r>
        <w:rPr>
          <w:rFonts w:ascii="Times New Roman" w:hAnsi="Times New Roman"/>
          <w:b w:val="0"/>
          <w:i w:val="0"/>
          <w:sz w:val="26"/>
        </w:rPr>
        <w:t>18. Nair V. Rectified Linear Units Improve Restricted Boltzmann Machines / V. Nair, G. E. Hinton // Proceedings of the 27th International Conference on Machine Learning (ICML). – 2010. – P. 807–814.</w:t>
      </w:r>
    </w:p>
    <w:p>
      <w:pPr>
        <w:spacing w:after="40" w:line="360" w:lineRule="auto"/>
        <w:ind w:left="425" w:hanging="425"/>
        <w:jc w:val="both"/>
      </w:pPr>
      <w:r>
        <w:rPr>
          <w:rFonts w:ascii="Times New Roman" w:hAnsi="Times New Roman"/>
          <w:b w:val="0"/>
          <w:i w:val="0"/>
          <w:sz w:val="26"/>
        </w:rPr>
        <w:t>19. Ioffe S. Batch Normalization: Accelerating Deep Network Training by Reducing Internal Covariate Shift / S. Ioffe, C. Szegedy // Proceedings of the 32nd International Conference on Machine Learning (ICML). – 2015. – P. 448–456.</w:t>
      </w:r>
    </w:p>
    <w:p>
      <w:pPr>
        <w:spacing w:after="40" w:line="360" w:lineRule="auto"/>
        <w:ind w:left="425" w:hanging="425"/>
        <w:jc w:val="both"/>
      </w:pPr>
      <w:r>
        <w:rPr>
          <w:rFonts w:ascii="Times New Roman" w:hAnsi="Times New Roman"/>
          <w:b w:val="0"/>
          <w:i w:val="0"/>
          <w:sz w:val="26"/>
        </w:rPr>
        <w:t>20. Dropout: A Simple Way to Prevent Neural Networks from Overfitting / N. Srivastava, G. Hinton, A. Krizhevsky [et al.] // Journal of Machine Learning Research. – 2014. – Vol. 15. – P. 1929–1958.</w:t>
      </w:r>
    </w:p>
    <w:p>
      <w:pPr>
        <w:spacing w:after="40" w:line="360" w:lineRule="auto"/>
        <w:ind w:left="425" w:hanging="425"/>
        <w:jc w:val="both"/>
      </w:pPr>
      <w:r>
        <w:rPr>
          <w:rFonts w:ascii="Times New Roman" w:hAnsi="Times New Roman"/>
          <w:b w:val="0"/>
          <w:i w:val="0"/>
          <w:sz w:val="26"/>
        </w:rPr>
        <w:t>21. Krizhevsky A. ImageNet Classification with Deep Convolutional Neural Networks / A. Krizhevsky, I. Sutskever, G. E. Hinton // Advances in Neural Information Processing Systems (NIPS). – 2012. – Vol. 25. – P. 1097–1105.</w:t>
      </w:r>
    </w:p>
    <w:p>
      <w:pPr>
        <w:spacing w:after="40" w:line="360" w:lineRule="auto"/>
        <w:ind w:left="425" w:hanging="425"/>
        <w:jc w:val="both"/>
      </w:pPr>
      <w:r>
        <w:rPr>
          <w:rFonts w:ascii="Times New Roman" w:hAnsi="Times New Roman"/>
          <w:b w:val="0"/>
          <w:i w:val="0"/>
          <w:sz w:val="26"/>
        </w:rPr>
        <w:t>22. Simonyan K. Very Deep Convolutional Networks for Large-Scale Image Recognition / K. Simonyan, A. Zisserman // International Conference on Learning Representations (ICLR). – 2015.</w:t>
      </w:r>
    </w:p>
    <w:p>
      <w:pPr>
        <w:spacing w:after="40" w:line="360" w:lineRule="auto"/>
        <w:ind w:left="425" w:hanging="425"/>
        <w:jc w:val="both"/>
      </w:pPr>
      <w:r>
        <w:rPr>
          <w:rFonts w:ascii="Times New Roman" w:hAnsi="Times New Roman"/>
          <w:b w:val="0"/>
          <w:i w:val="0"/>
          <w:sz w:val="26"/>
        </w:rPr>
        <w:t>23. Deep Residual Learning for Image Recognition / K. He, X. Zhang, S. Ren, J. Sun // Proceedings of the IEEE Conference on Computer Vision and Pattern Recognition (CVPR). – 2016. – P. 770–778.</w:t>
      </w:r>
    </w:p>
    <w:p>
      <w:pPr>
        <w:spacing w:after="40" w:line="360" w:lineRule="auto"/>
        <w:ind w:left="425" w:hanging="425"/>
        <w:jc w:val="both"/>
      </w:pPr>
      <w:r>
        <w:rPr>
          <w:rFonts w:ascii="Times New Roman" w:hAnsi="Times New Roman"/>
          <w:b w:val="0"/>
          <w:i w:val="0"/>
          <w:sz w:val="26"/>
        </w:rPr>
        <w:t>24. Densely Connected Convolutional Networks / G. Huang, Z. Liu, L. van der Maaten, K. Q. Weinberger // Proceedings of the IEEE Conference on Computer Vision and Pattern Recognition (CVPR). – 2017. – P. 4700–4708.</w:t>
      </w:r>
    </w:p>
    <w:p>
      <w:pPr>
        <w:spacing w:after="40" w:line="360" w:lineRule="auto"/>
        <w:ind w:left="425" w:hanging="425"/>
        <w:jc w:val="both"/>
      </w:pPr>
      <w:r>
        <w:rPr>
          <w:rFonts w:ascii="Times New Roman" w:hAnsi="Times New Roman"/>
          <w:b w:val="0"/>
          <w:i w:val="0"/>
          <w:sz w:val="26"/>
        </w:rPr>
        <w:t>25. Tan M. EfficientNet: Rethinking Model Scaling for Convolutional Neural Networks / M. Tan, Q. V. Le // Proceedings of the 36th International Conference on Machine Learning (ICML). – 2019. – P. 6105–6114.</w:t>
      </w:r>
    </w:p>
    <w:p>
      <w:pPr>
        <w:spacing w:after="40" w:line="360" w:lineRule="auto"/>
        <w:ind w:left="425" w:hanging="425"/>
        <w:jc w:val="both"/>
      </w:pPr>
      <w:r>
        <w:rPr>
          <w:rFonts w:ascii="Times New Roman" w:hAnsi="Times New Roman"/>
          <w:b w:val="0"/>
          <w:i w:val="0"/>
          <w:sz w:val="26"/>
        </w:rPr>
        <w:t>26. MobileNets: Efficient Convolutional Neural Networks for Mobile Vision Applications / A. G. Howard, M. Zhu, B. Chen [et al.] // arXiv preprint arXiv:1704.04861. – 2017.</w:t>
      </w:r>
    </w:p>
    <w:p>
      <w:pPr>
        <w:spacing w:after="40" w:line="360" w:lineRule="auto"/>
        <w:ind w:left="425" w:hanging="425"/>
        <w:jc w:val="both"/>
      </w:pPr>
      <w:r>
        <w:rPr>
          <w:rFonts w:ascii="Times New Roman" w:hAnsi="Times New Roman"/>
          <w:b w:val="0"/>
          <w:i w:val="0"/>
          <w:sz w:val="26"/>
        </w:rPr>
        <w:t>27. ChestX-ray8: Hospital-scale Chest X-ray Database and Benchmarks on Weakly-Supervised Classification and Localization of Common Thorax Diseases / X. Wang, Y. Peng, L. Lu [et al.] // Proceedings of the IEEE Conference on Computer Vision and Pattern Recognition (CVPR). – 2017. – P. 2097–2106.</w:t>
      </w:r>
    </w:p>
    <w:p>
      <w:pPr>
        <w:spacing w:after="40" w:line="360" w:lineRule="auto"/>
        <w:ind w:left="425" w:hanging="425"/>
        <w:jc w:val="both"/>
      </w:pPr>
      <w:r>
        <w:rPr>
          <w:rFonts w:ascii="Times New Roman" w:hAnsi="Times New Roman"/>
          <w:b w:val="0"/>
          <w:i w:val="0"/>
          <w:sz w:val="26"/>
        </w:rPr>
        <w:t>28. CheXNet: Radiologist-Level Pneumonia Detection on Chest X-Rays with Deep Learning / P. Rajpurkar, J. Irvin, K. Zhu [et al.] // arXiv preprint arXiv:1711.05225. – 2017.</w:t>
      </w:r>
    </w:p>
    <w:p>
      <w:pPr>
        <w:spacing w:after="40" w:line="360" w:lineRule="auto"/>
        <w:ind w:left="425" w:hanging="425"/>
        <w:jc w:val="both"/>
      </w:pPr>
      <w:r>
        <w:rPr>
          <w:rFonts w:ascii="Times New Roman" w:hAnsi="Times New Roman"/>
          <w:b w:val="0"/>
          <w:i w:val="0"/>
          <w:sz w:val="26"/>
        </w:rPr>
        <w:t>29. CheXpert: A Large Chest Radiograph Dataset with Uncertainty Labels and Expert Comparison / J. Irvin, P. Rajpurkar, M. Ko [et al.] // Proceedings of the AAAI Conference on Artificial Intelligence. – 2019. – Vol. 33. – P. 590–597.</w:t>
      </w:r>
    </w:p>
    <w:p>
      <w:pPr>
        <w:spacing w:after="40" w:line="360" w:lineRule="auto"/>
        <w:ind w:left="425" w:hanging="425"/>
        <w:jc w:val="both"/>
      </w:pPr>
      <w:r>
        <w:rPr>
          <w:rFonts w:ascii="Times New Roman" w:hAnsi="Times New Roman"/>
          <w:b w:val="0"/>
          <w:i w:val="0"/>
          <w:sz w:val="26"/>
        </w:rPr>
        <w:t>30. MIMIC-CXR, a de-identified publicly available database of chest radiographs with free-text reports / A. E. W. Johnson, T. J. Pollard, S. J. Berkowitz [et al.] // Scientific Data. – 2019. – Vol. 6. – Art. 317.</w:t>
      </w:r>
    </w:p>
    <w:p>
      <w:pPr>
        <w:spacing w:after="40" w:line="360" w:lineRule="auto"/>
        <w:ind w:left="425" w:hanging="425"/>
        <w:jc w:val="both"/>
      </w:pPr>
      <w:r>
        <w:rPr>
          <w:rFonts w:ascii="Times New Roman" w:hAnsi="Times New Roman"/>
          <w:b w:val="0"/>
          <w:i w:val="0"/>
          <w:sz w:val="26"/>
        </w:rPr>
        <w:t>31. Augmenting the National Institutes of Health Chest Radiograph Dataset with Expert Annotations of Possible Pneumonia / G. Shih, C. C. Wu, S. S. Halabi [et al.] // Radiology: Artificial Intelligence. – 2019. – Vol. 1, No. 1. – Art. e180041.</w:t>
      </w:r>
    </w:p>
    <w:p>
      <w:pPr>
        <w:spacing w:after="40" w:line="360" w:lineRule="auto"/>
        <w:ind w:left="425" w:hanging="425"/>
        <w:jc w:val="both"/>
      </w:pPr>
      <w:r>
        <w:rPr>
          <w:rFonts w:ascii="Times New Roman" w:hAnsi="Times New Roman"/>
          <w:b w:val="0"/>
          <w:i w:val="0"/>
          <w:sz w:val="26"/>
        </w:rPr>
        <w:t>32. Identifying Medical Diagnoses and Treatable Diseases by Image-Based Deep Learning / D. S. Kermany, M. Goldbaum, W. Cai [et al.] // Cell. – 2018. – Vol. 172, No. 5. – P. 1122–1131.</w:t>
      </w:r>
    </w:p>
    <w:p>
      <w:pPr>
        <w:spacing w:after="40" w:line="360" w:lineRule="auto"/>
        <w:ind w:left="425" w:hanging="425"/>
        <w:jc w:val="both"/>
      </w:pPr>
      <w:r>
        <w:rPr>
          <w:rFonts w:ascii="Times New Roman" w:hAnsi="Times New Roman"/>
          <w:b w:val="0"/>
          <w:i w:val="0"/>
          <w:sz w:val="26"/>
        </w:rPr>
        <w:t>33. Variable generalization performance of a deep learning model to detect pneumonia in chest radiographs: A cross-sectional study / J. R. Zech, M. A. Badgeley, M. Liu [et al.] // PLOS Medicine. – 2018. – Vol. 15, No. 11. – Art. e1002683.</w:t>
      </w:r>
    </w:p>
    <w:p>
      <w:pPr>
        <w:spacing w:after="40" w:line="360" w:lineRule="auto"/>
        <w:ind w:left="425" w:hanging="425"/>
        <w:jc w:val="both"/>
      </w:pPr>
      <w:r>
        <w:rPr>
          <w:rFonts w:ascii="Times New Roman" w:hAnsi="Times New Roman"/>
          <w:b w:val="0"/>
          <w:i w:val="0"/>
          <w:sz w:val="26"/>
        </w:rPr>
        <w:t>34. Transfusion: Understanding Transfer Learning for Medical Imaging / M. Raghu, C. Zhang, J. Kleinberg, S. Bengio // Advances in Neural Information Processing Systems (NeurIPS). – 2019. – Vol. 32. – P. 3347–3357.</w:t>
      </w:r>
    </w:p>
    <w:p>
      <w:pPr>
        <w:spacing w:after="40" w:line="360" w:lineRule="auto"/>
        <w:ind w:left="425" w:hanging="425"/>
        <w:jc w:val="both"/>
      </w:pPr>
      <w:r>
        <w:rPr>
          <w:rFonts w:ascii="Times New Roman" w:hAnsi="Times New Roman"/>
          <w:b w:val="0"/>
          <w:i w:val="0"/>
          <w:sz w:val="26"/>
        </w:rPr>
        <w:t>35. On the Interpretability of Artificial Intelligence in Radiology: Challenges and Opportunities / M. Reyes, R. Meier, S. Pereira [et al.] // Radiology: Artificial Intelligence. – 2020. – Vol. 2, No. 3. – Art. e190043.</w:t>
      </w:r>
    </w:p>
    <w:p>
      <w:pPr>
        <w:spacing w:after="40" w:line="360" w:lineRule="auto"/>
        <w:ind w:left="425" w:hanging="425"/>
        <w:jc w:val="both"/>
      </w:pPr>
      <w:r>
        <w:rPr>
          <w:rFonts w:ascii="Times New Roman" w:hAnsi="Times New Roman"/>
          <w:b w:val="0"/>
          <w:i w:val="0"/>
          <w:sz w:val="26"/>
        </w:rPr>
        <w:t>36. Learning Deep Features for Discriminative Localization / B. Zhou, A. Khosla, A. Lapedriza [et al.] // Proceedings of the IEEE Conference on Computer Vision and Pattern Recognition (CVPR). – 2016. – P. 2921–2929.</w:t>
      </w:r>
    </w:p>
    <w:p>
      <w:pPr>
        <w:spacing w:after="40" w:line="360" w:lineRule="auto"/>
        <w:ind w:left="425" w:hanging="425"/>
        <w:jc w:val="both"/>
      </w:pPr>
      <w:r>
        <w:rPr>
          <w:rFonts w:ascii="Times New Roman" w:hAnsi="Times New Roman"/>
          <w:b w:val="0"/>
          <w:i w:val="0"/>
          <w:sz w:val="26"/>
        </w:rPr>
        <w:t>37. Grad-CAM: Visual Explanations from Deep Networks via Gradient-based Localization / R. R. Selvaraju, M. Cogswell, A. Das [et al.] // Proceedings of the IEEE International Conference on Computer Vision (ICCV). – 2017. – P. 618–626.</w:t>
      </w:r>
    </w:p>
    <w:p>
      <w:pPr>
        <w:spacing w:after="40" w:line="360" w:lineRule="auto"/>
        <w:ind w:left="425" w:hanging="425"/>
        <w:jc w:val="both"/>
      </w:pPr>
      <w:r>
        <w:rPr>
          <w:rFonts w:ascii="Times New Roman" w:hAnsi="Times New Roman"/>
          <w:b w:val="0"/>
          <w:i w:val="0"/>
          <w:sz w:val="26"/>
        </w:rPr>
        <w:t>38. Ribeiro M. T. "Why Should I Trust You?": Explaining the Predictions of Any Classifier / M. T. Ribeiro, S. Singh, C. Guestrin // Proceedings of the 22nd ACM SIGKDD International Conference on Knowledge Discovery and Data Mining. – 2016. – P. 1135–1144.</w:t>
      </w:r>
    </w:p>
    <w:p>
      <w:pPr>
        <w:spacing w:after="40" w:line="360" w:lineRule="auto"/>
        <w:ind w:left="425" w:hanging="425"/>
        <w:jc w:val="both"/>
      </w:pPr>
      <w:r>
        <w:rPr>
          <w:rFonts w:ascii="Times New Roman" w:hAnsi="Times New Roman"/>
          <w:b w:val="0"/>
          <w:i w:val="0"/>
          <w:sz w:val="26"/>
        </w:rPr>
        <w:t>39. Lundberg S. M. A Unified Approach to Interpreting Model Predictions / S. M. Lundberg, S.-I. Lee // Advances in Neural Information Processing Systems (NIPS). – 2017. – Vol. 30. – P. 4765–4774.</w:t>
      </w:r>
    </w:p>
    <w:p>
      <w:pPr>
        <w:spacing w:after="40" w:line="360" w:lineRule="auto"/>
        <w:ind w:left="425" w:hanging="425"/>
        <w:jc w:val="both"/>
      </w:pPr>
      <w:r>
        <w:rPr>
          <w:rFonts w:ascii="Times New Roman" w:hAnsi="Times New Roman"/>
          <w:b w:val="0"/>
          <w:i w:val="0"/>
          <w:sz w:val="26"/>
        </w:rPr>
        <w:t>40. Benchmarking saliency methods for chest X-ray interpretation / A. Saporta, X. Gui, A. Agrawal [et al.] // Nature Machine Intelligence. – 2022. – Vol. 4. – P. 867–878.</w:t>
      </w:r>
    </w:p>
    <w:p>
      <w:pPr>
        <w:spacing w:after="40" w:line="360" w:lineRule="auto"/>
        <w:ind w:left="425" w:hanging="425"/>
        <w:jc w:val="both"/>
      </w:pPr>
      <w:r>
        <w:rPr>
          <w:rFonts w:ascii="Times New Roman" w:hAnsi="Times New Roman"/>
          <w:b w:val="0"/>
          <w:i w:val="0"/>
          <w:sz w:val="26"/>
        </w:rPr>
        <w:t>41. Fawcett T. An introduction to ROC analysis / T. Fawcett // Pattern Recognition Letters. – 2006. – Vol. 27, No. 8. – P. 861–874.</w:t>
      </w:r>
    </w:p>
    <w:p>
      <w:pPr>
        <w:spacing w:after="40" w:line="360" w:lineRule="auto"/>
        <w:ind w:left="425" w:hanging="425"/>
        <w:jc w:val="both"/>
      </w:pPr>
      <w:r>
        <w:rPr>
          <w:rFonts w:ascii="Times New Roman" w:hAnsi="Times New Roman"/>
          <w:b w:val="0"/>
          <w:i w:val="0"/>
          <w:sz w:val="26"/>
        </w:rPr>
        <w:t>42. Saito T. The Precision-Recall Plot Is More Informative than the ROC Plot When Evaluating Binary Classifiers on Imbalanced Datasets / T. Saito, M. Rehmsmeier // PLOS ONE. – 2015. – Vol. 10, No. 3. – Art. e0118432.</w:t>
      </w:r>
    </w:p>
    <w:p>
      <w:pPr>
        <w:spacing w:after="40" w:line="360" w:lineRule="auto"/>
        <w:ind w:left="425" w:hanging="425"/>
        <w:jc w:val="both"/>
      </w:pPr>
      <w:r>
        <w:rPr>
          <w:rFonts w:ascii="Times New Roman" w:hAnsi="Times New Roman"/>
          <w:b w:val="0"/>
          <w:i w:val="0"/>
          <w:sz w:val="26"/>
        </w:rPr>
        <w:t>43. Youden W. J. Index for rating diagnostic tests / W. J. Youden // Cancer. – 1950. – Vol. 3, No. 1. – P. 32–35.</w:t>
      </w:r>
    </w:p>
    <w:p>
      <w:pPr>
        <w:spacing w:after="40" w:line="360" w:lineRule="auto"/>
        <w:ind w:left="425" w:hanging="425"/>
        <w:jc w:val="both"/>
      </w:pPr>
      <w:r>
        <w:rPr>
          <w:rFonts w:ascii="Times New Roman" w:hAnsi="Times New Roman"/>
          <w:b w:val="0"/>
          <w:i w:val="0"/>
          <w:sz w:val="26"/>
        </w:rPr>
        <w:t>44. Regulation (EU) 2017/745 of the European Parliament and of the Council of 5 April 2017 on medical devices // Official Journal of the European Union. – 2017. – L 117. – P. 1–175.</w:t>
      </w:r>
    </w:p>
    <w:p>
      <w:pPr>
        <w:spacing w:after="40" w:line="360" w:lineRule="auto"/>
        <w:ind w:left="425" w:hanging="425"/>
        <w:jc w:val="both"/>
      </w:pPr>
      <w:r>
        <w:rPr>
          <w:rFonts w:ascii="Times New Roman" w:hAnsi="Times New Roman"/>
          <w:b w:val="0"/>
          <w:i w:val="0"/>
          <w:sz w:val="26"/>
        </w:rPr>
        <w:t>45. ONNX: Open Neural Network Exchange [Electronic resource] : specification. – 2024. – Access mode: https://onnx.ai/.</w:t>
      </w:r>
    </w:p>
    <w:p>
      <w:pPr>
        <w:spacing w:after="40" w:line="360" w:lineRule="auto"/>
        <w:ind w:left="425" w:hanging="425"/>
        <w:jc w:val="both"/>
      </w:pPr>
      <w:r>
        <w:rPr>
          <w:rFonts w:ascii="Times New Roman" w:hAnsi="Times New Roman"/>
          <w:b w:val="0"/>
          <w:i w:val="0"/>
          <w:sz w:val="26"/>
        </w:rPr>
        <w:t>46. ONNX Runtime : cross-platform inference and training accelerator [Electronic resource] / Microsoft. – 2024. – Access mode: https://onnxruntime.ai/.</w:t>
      </w:r>
    </w:p>
    <w:p>
      <w:pPr>
        <w:spacing w:after="40" w:line="360" w:lineRule="auto"/>
        <w:ind w:left="425" w:hanging="425"/>
        <w:jc w:val="both"/>
      </w:pPr>
      <w:r>
        <w:rPr>
          <w:rFonts w:ascii="Times New Roman" w:hAnsi="Times New Roman"/>
          <w:b w:val="0"/>
          <w:i w:val="0"/>
          <w:sz w:val="26"/>
        </w:rPr>
        <w:t>47. TensorFlow Lite : on-device machine learning [Electronic resource] / Google. – 2024. – Access mode: https://www.tensorflow.org/lite.</w:t>
      </w:r>
    </w:p>
    <w:p>
      <w:pPr>
        <w:spacing w:after="40" w:line="360" w:lineRule="auto"/>
        <w:ind w:left="425" w:hanging="425"/>
        <w:jc w:val="both"/>
      </w:pPr>
      <w:r>
        <w:rPr>
          <w:rFonts w:ascii="Times New Roman" w:hAnsi="Times New Roman"/>
          <w:b w:val="0"/>
          <w:i w:val="0"/>
          <w:sz w:val="26"/>
        </w:rPr>
        <w:t>48. Quantization and Training of Neural Networks for Efficient Integer-Arithmetic-Only Inference / B. Jacob, S. Kligys, B. Chen [et al.] // Proceedings of the IEEE Conference on Computer Vision and Pattern Recognition (CVPR). – 2018. – P. 2704–2713.</w:t>
      </w:r>
    </w:p>
    <w:sectPr w:rsidR="00FC693F" w:rsidRPr="0006063C" w:rsidSect="00034616">
      <w:headerReference w:type="default" r:id="rId9"/>
      <w:pgSz w:w="12240" w:h="15840"/>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85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