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7549BB8C" w:rsidR="00415259" w:rsidRPr="0031116B" w:rsidRDefault="00415259" w:rsidP="00415259">
      <w:pPr>
        <w:pStyle w:val="Heading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 xml:space="preserve">ESTIMATION OF THE BIOLOGICAL AGE OF HUMAN HEART USING </w:t>
      </w:r>
      <w:bookmarkEnd w:id="0"/>
      <w:bookmarkEnd w:id="1"/>
      <w:r w:rsidR="0031116B">
        <w:rPr>
          <w:rFonts w:ascii="Times New Roman" w:hAnsi="Times New Roman" w:cs="Times New Roman"/>
          <w:sz w:val="28"/>
          <w:szCs w:val="28"/>
          <w:lang w:val="en-US"/>
        </w:rPr>
        <w:t>HIGUCHI FRACTAL DIMENSION</w:t>
      </w:r>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Heading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hypothesis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geroprotectors. Determination of biological age will make it possible to differentiate geroprotectors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[4]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4761F2A1"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ListParagraph"/>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995822">
      <w:pPr>
        <w:ind w:firstLine="708"/>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3B92BC02" w14:textId="383385CE" w:rsidR="002A6DF8" w:rsidRPr="00666A1D" w:rsidRDefault="00657828" w:rsidP="002A6DF8">
      <w:pPr>
        <w:ind w:firstLine="708"/>
        <w:rPr>
          <w:rFonts w:ascii="Times New Roman" w:hAnsi="Times New Roman" w:cs="Times New Roman"/>
          <w:sz w:val="28"/>
          <w:szCs w:val="28"/>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r w:rsidR="002A6DF8" w:rsidRPr="00C91A48">
        <w:rPr>
          <w:rFonts w:ascii="Times New Roman" w:hAnsi="Times New Roman" w:cs="Times New Roman"/>
          <w:sz w:val="28"/>
          <w:szCs w:val="28"/>
        </w:rPr>
        <w:t>Recordings with artifacts (missing values) were removed from the ECG set (</w:t>
      </w:r>
      <w:r w:rsidR="00C91A48" w:rsidRPr="00C91A48">
        <w:rPr>
          <w:rFonts w:ascii="Times New Roman" w:hAnsi="Times New Roman" w:cs="Times New Roman"/>
          <w:sz w:val="28"/>
          <w:szCs w:val="28"/>
          <w:lang w:val="en-US"/>
        </w:rPr>
        <w:t>f</w:t>
      </w:r>
      <w:r w:rsidR="002A6DF8" w:rsidRPr="00C91A48">
        <w:rPr>
          <w:rFonts w:ascii="Times New Roman" w:hAnsi="Times New Roman" w:cs="Times New Roman"/>
          <w:sz w:val="28"/>
          <w:szCs w:val="28"/>
        </w:rPr>
        <w:t>igure 1).</w:t>
      </w:r>
      <w:r w:rsidR="00666A1D">
        <w:rPr>
          <w:rFonts w:ascii="Times New Roman" w:hAnsi="Times New Roman" w:cs="Times New Roman"/>
          <w:sz w:val="28"/>
          <w:szCs w:val="28"/>
          <w:lang w:val="en-US"/>
        </w:rPr>
        <w:t xml:space="preserve"> </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0DD2AB98" w14:textId="00D301D2" w:rsidR="0031116B" w:rsidRDefault="0031116B" w:rsidP="0031116B">
      <w:pPr>
        <w:rPr>
          <w:rFonts w:ascii="Times New Roman" w:hAnsi="Times New Roman" w:cs="Times New Roman"/>
          <w:sz w:val="28"/>
          <w:szCs w:val="28"/>
          <w:lang w:val="en-US"/>
        </w:rPr>
      </w:pPr>
      <w:r>
        <w:rPr>
          <w:rFonts w:ascii="Times New Roman" w:hAnsi="Times New Roman" w:cs="Times New Roman"/>
          <w:sz w:val="28"/>
          <w:szCs w:val="28"/>
          <w:lang w:val="en-US"/>
        </w:rPr>
        <w:tab/>
      </w:r>
    </w:p>
    <w:p w14:paraId="325A3766" w14:textId="44026934" w:rsidR="0031116B" w:rsidRPr="0031116B" w:rsidRDefault="0031116B" w:rsidP="0031116B">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1116B">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1DF467B0" w14:textId="55F62E03" w:rsidR="00697E62" w:rsidRDefault="000F1BB0" w:rsidP="00C91A48">
      <w:pPr>
        <w:ind w:firstLine="708"/>
        <w:rPr>
          <w:rFonts w:ascii="Times New Roman" w:hAnsi="Times New Roman" w:cs="Times New Roman"/>
          <w:sz w:val="28"/>
          <w:szCs w:val="28"/>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7983C" w14:textId="72A86A47" w:rsidR="00697E62" w:rsidRP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12778" w14:textId="1A4BF277"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2.</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67C129FD"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7C4B8B" w:rsidRPr="00C91A48">
        <w:rPr>
          <w:rFonts w:ascii="Times New Roman" w:eastAsia="Times New Roman" w:hAnsi="Times New Roman" w:cs="Times New Roman"/>
          <w:color w:val="212529"/>
          <w:kern w:val="36"/>
          <w:sz w:val="28"/>
          <w:szCs w:val="28"/>
          <w:lang w:val="en-US"/>
          <w14:ligatures w14:val="none"/>
        </w:rPr>
        <w:t>2</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7FAAC9A2" w:rsidR="00C91A48" w:rsidRPr="00C91A48" w:rsidRDefault="00C91A48" w:rsidP="00C91A48">
      <w:pPr>
        <w:pStyle w:val="ListParagraph"/>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Pr>
          <w:rFonts w:ascii="Times New Roman" w:hAnsi="Times New Roman" w:cs="Times New Roman"/>
          <w:sz w:val="28"/>
          <w:szCs w:val="28"/>
          <w:lang w:val="en-US"/>
        </w:rPr>
        <w:t>3</w:t>
      </w:r>
      <w:r w:rsidR="004E5867">
        <w:rPr>
          <w:rFonts w:ascii="Times New Roman" w:hAnsi="Times New Roman" w:cs="Times New Roman"/>
          <w:sz w:val="28"/>
          <w:szCs w:val="28"/>
          <w:lang w:val="en-US"/>
        </w:rPr>
        <w:t>, figure 4.a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77777777"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lastRenderedPageBreak/>
        <w:t>Figure 3 – Removing baseline wander and high-frequency noise</w:t>
      </w:r>
    </w:p>
    <w:p w14:paraId="34706122" w14:textId="77777777" w:rsidR="00666A1D" w:rsidRPr="001E480E" w:rsidRDefault="00666A1D" w:rsidP="00666A1D">
      <w:pPr>
        <w:numPr>
          <w:ilvl w:val="0"/>
          <w:numId w:val="36"/>
        </w:numPr>
        <w:jc w:val="both"/>
        <w:rPr>
          <w:rFonts w:ascii="Times New Roman" w:hAnsi="Times New Roman" w:cs="Times New Roman"/>
          <w:iCs/>
          <w:sz w:val="28"/>
          <w:szCs w:val="28"/>
        </w:rPr>
      </w:pPr>
      <w:r w:rsidRPr="001E480E">
        <w:rPr>
          <w:rFonts w:ascii="Times New Roman" w:hAnsi="Times New Roman" w:cs="Times New Roman"/>
          <w:iCs/>
          <w:sz w:val="28"/>
          <w:szCs w:val="28"/>
        </w:rPr>
        <w:t>Предобработка</w:t>
      </w:r>
    </w:p>
    <w:p w14:paraId="1D52BCFE" w14:textId="77777777" w:rsidR="00666A1D" w:rsidRPr="001E480E" w:rsidRDefault="00666A1D" w:rsidP="00666A1D">
      <w:pPr>
        <w:numPr>
          <w:ilvl w:val="0"/>
          <w:numId w:val="37"/>
        </w:numPr>
        <w:jc w:val="both"/>
        <w:rPr>
          <w:rFonts w:ascii="Times New Roman" w:hAnsi="Times New Roman" w:cs="Times New Roman"/>
          <w:iCs/>
          <w:sz w:val="28"/>
          <w:szCs w:val="28"/>
        </w:rPr>
      </w:pPr>
      <w:r w:rsidRPr="001E480E">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5E2B0BCB" w14:textId="77777777" w:rsidR="00666A1D" w:rsidRPr="00666A1D" w:rsidRDefault="00666A1D" w:rsidP="004E5867">
      <w:pPr>
        <w:shd w:val="clear" w:color="auto" w:fill="FFFFFF"/>
        <w:spacing w:after="100" w:afterAutospacing="1" w:line="360" w:lineRule="auto"/>
        <w:ind w:firstLine="708"/>
        <w:outlineLvl w:val="0"/>
        <w:rPr>
          <w:rFonts w:ascii="Times New Roman" w:hAnsi="Times New Roman" w:cs="Times New Roman"/>
          <w:b/>
          <w:bCs/>
          <w:color w:val="212529"/>
          <w:kern w:val="36"/>
          <w:sz w:val="28"/>
          <w:szCs w:val="28"/>
          <w14:ligatures w14:val="none"/>
        </w:rPr>
      </w:pPr>
    </w:p>
    <w:p w14:paraId="248A6BB3" w14:textId="1EC09BF0"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11FCC586"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Figure 4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ListParagraph"/>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16CCB5AF" w:rsidR="00961941" w:rsidRPr="00EF1D3E" w:rsidRDefault="004E5867" w:rsidP="004E5867">
      <w:pPr>
        <w:pStyle w:val="ListParagraph"/>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Figure 5 - Rhythmogram</w:t>
      </w:r>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38B0F011" w:rsidR="003A7F01" w:rsidRDefault="002118D0" w:rsidP="00ED2CFA">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lastRenderedPageBreak/>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line with a slope - D.</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Идея</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сделать</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значений</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hint="eastAsia"/>
          <w:iCs/>
          <w:sz w:val="28"/>
          <w:szCs w:val="28"/>
          <w:lang w:val="en-US"/>
        </w:rPr>
        <w:t xml:space="preserve">k </w:t>
      </w:r>
      <w:r w:rsidR="00D67157">
        <w:rPr>
          <w:rFonts w:ascii="Times New Roman" w:hAnsi="Times New Roman" w:cs="Times New Roman"/>
          <w:iCs/>
          <w:sz w:val="28"/>
          <w:szCs w:val="28"/>
        </w:rPr>
        <w:t>не 50 на интервале, а с шагом 1.</w:t>
      </w:r>
    </w:p>
    <w:p w14:paraId="662CDC6B" w14:textId="6F82AB70" w:rsidR="00737031" w:rsidRPr="00666A1D" w:rsidRDefault="00737031" w:rsidP="00ED2CFA">
      <w:pPr>
        <w:ind w:firstLine="708"/>
        <w:jc w:val="both"/>
        <w:rPr>
          <w:rFonts w:ascii="Times New Roman" w:hAnsi="Times New Roman" w:cs="Times New Roman"/>
          <w:iCs/>
          <w:sz w:val="28"/>
          <w:szCs w:val="28"/>
        </w:rPr>
      </w:pPr>
      <w:r>
        <w:rPr>
          <w:rFonts w:ascii="Times New Roman" w:hAnsi="Times New Roman" w:cs="Times New Roman"/>
          <w:iCs/>
          <w:sz w:val="28"/>
          <w:szCs w:val="28"/>
        </w:rPr>
        <w:t xml:space="preserve">Записи ЕКГ мають різну довжину. Для розрахунку фрактальної розмірності на основі цілої ЕКГ бралося по 300 серцевих циклів (оскільки максимальна довжина серцевого циклу * 300 * частоту дискретизації </w:t>
      </w:r>
      <w:r w:rsidRPr="00737031">
        <w:rPr>
          <w:rFonts w:ascii="Times New Roman" w:hAnsi="Times New Roman" w:cs="Times New Roman"/>
          <w:iCs/>
          <w:sz w:val="28"/>
          <w:szCs w:val="28"/>
        </w:rPr>
        <w:t xml:space="preserve">&lt; </w:t>
      </w:r>
      <w:r>
        <w:rPr>
          <w:rFonts w:ascii="Times New Roman" w:hAnsi="Times New Roman" w:cs="Times New Roman"/>
          <w:iCs/>
          <w:sz w:val="28"/>
          <w:szCs w:val="28"/>
          <w:lang w:val="en-US"/>
        </w:rPr>
        <w:t>min</w:t>
      </w:r>
      <w:r w:rsidRPr="00737031">
        <w:rPr>
          <w:rFonts w:ascii="Times New Roman" w:hAnsi="Times New Roman" w:cs="Times New Roman"/>
          <w:iCs/>
          <w:sz w:val="28"/>
          <w:szCs w:val="28"/>
        </w:rPr>
        <w:t>_</w:t>
      </w:r>
      <w:proofErr w:type="spellStart"/>
      <w:r>
        <w:rPr>
          <w:rFonts w:ascii="Times New Roman" w:hAnsi="Times New Roman" w:cs="Times New Roman"/>
          <w:iCs/>
          <w:sz w:val="28"/>
          <w:szCs w:val="28"/>
          <w:lang w:val="en-US"/>
        </w:rPr>
        <w:t>ecg</w:t>
      </w:r>
      <w:proofErr w:type="spellEnd"/>
      <w:r w:rsidRPr="00737031">
        <w:rPr>
          <w:rFonts w:ascii="Times New Roman" w:hAnsi="Times New Roman" w:cs="Times New Roman"/>
          <w:iCs/>
          <w:sz w:val="28"/>
          <w:szCs w:val="28"/>
        </w:rPr>
        <w:t>_</w:t>
      </w:r>
      <w:r>
        <w:rPr>
          <w:rFonts w:ascii="Times New Roman" w:hAnsi="Times New Roman" w:cs="Times New Roman"/>
          <w:iCs/>
          <w:sz w:val="28"/>
          <w:szCs w:val="28"/>
          <w:lang w:val="en-US"/>
        </w:rPr>
        <w:t>length</w:t>
      </w:r>
      <w:r w:rsidRPr="00737031">
        <w:rPr>
          <w:rFonts w:ascii="Times New Roman" w:hAnsi="Times New Roman" w:cs="Times New Roman"/>
          <w:iCs/>
          <w:sz w:val="28"/>
          <w:szCs w:val="28"/>
        </w:rPr>
        <w:t>).</w:t>
      </w:r>
    </w:p>
    <w:p w14:paraId="0DB97E8C" w14:textId="77777777" w:rsidR="00562932" w:rsidRDefault="00737031" w:rsidP="00ED2CFA">
      <w:pPr>
        <w:ind w:firstLine="708"/>
        <w:jc w:val="both"/>
        <w:rPr>
          <w:rFonts w:ascii="Times New Roman" w:hAnsi="Times New Roman" w:cs="Times New Roman"/>
          <w:iCs/>
          <w:sz w:val="28"/>
          <w:szCs w:val="28"/>
        </w:rPr>
      </w:pPr>
      <w:r>
        <w:rPr>
          <w:rFonts w:ascii="Times New Roman" w:hAnsi="Times New Roman" w:cs="Times New Roman"/>
          <w:iCs/>
          <w:sz w:val="28"/>
          <w:szCs w:val="28"/>
          <w:lang w:val="ru-RU"/>
        </w:rPr>
        <w:t>Для розрахунку фрактально</w:t>
      </w:r>
      <w:r>
        <w:rPr>
          <w:rFonts w:ascii="Times New Roman" w:hAnsi="Times New Roman" w:cs="Times New Roman"/>
          <w:iCs/>
          <w:sz w:val="28"/>
          <w:szCs w:val="28"/>
        </w:rPr>
        <w:t xml:space="preserve">ї розмірності на основі даних часового ряду ВСР бралася вся </w:t>
      </w:r>
      <w:r w:rsidR="00F16843">
        <w:rPr>
          <w:rFonts w:ascii="Times New Roman" w:hAnsi="Times New Roman" w:cs="Times New Roman"/>
          <w:iCs/>
          <w:sz w:val="28"/>
          <w:szCs w:val="28"/>
        </w:rPr>
        <w:t xml:space="preserve">числова послідовність ВСР. Можливо варто обрізати по запису </w:t>
      </w:r>
      <w:r w:rsidR="00F16843" w:rsidRPr="00F16843">
        <w:rPr>
          <w:rFonts w:ascii="Times New Roman" w:hAnsi="Times New Roman" w:cs="Times New Roman"/>
          <w:iCs/>
          <w:sz w:val="28"/>
          <w:szCs w:val="28"/>
          <w:highlight w:val="yellow"/>
        </w:rPr>
        <w:t>мінімальної довжини</w:t>
      </w:r>
    </w:p>
    <w:p w14:paraId="7A573548" w14:textId="2C95E686" w:rsidR="00737031" w:rsidRPr="00737031" w:rsidRDefault="00F16843" w:rsidP="00ED2CFA">
      <w:pPr>
        <w:ind w:firstLine="708"/>
        <w:jc w:val="both"/>
        <w:rPr>
          <w:rFonts w:ascii="Times New Roman" w:hAnsi="Times New Roman" w:cs="Times New Roman"/>
          <w:iCs/>
          <w:sz w:val="28"/>
          <w:szCs w:val="28"/>
        </w:rPr>
      </w:pPr>
      <w:r>
        <w:rPr>
          <w:rFonts w:ascii="Times New Roman" w:hAnsi="Times New Roman" w:cs="Times New Roman"/>
          <w:iCs/>
          <w:sz w:val="28"/>
          <w:szCs w:val="28"/>
        </w:rPr>
        <w:t>.</w:t>
      </w:r>
    </w:p>
    <w:p w14:paraId="7E18A4E6" w14:textId="0BBC262A" w:rsidR="00864C8B" w:rsidRPr="00737031" w:rsidRDefault="00864C8B" w:rsidP="00ED2CFA">
      <w:pPr>
        <w:ind w:firstLine="708"/>
        <w:jc w:val="both"/>
        <w:rPr>
          <w:rFonts w:ascii="Times New Roman" w:hAnsi="Times New Roman" w:cs="Times New Roman"/>
          <w:iCs/>
          <w:sz w:val="28"/>
          <w:szCs w:val="28"/>
        </w:rPr>
      </w:pP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вы описали как раз </w:t>
      </w:r>
      <w:r w:rsidRPr="001E480E">
        <w:rPr>
          <w:rFonts w:ascii="Times New Roman" w:hAnsi="Times New Roman" w:cs="Times New Roman"/>
          <w:b/>
          <w:bCs/>
          <w:iCs/>
          <w:sz w:val="28"/>
          <w:szCs w:val="28"/>
        </w:rPr>
        <w:t>бутстрэп-метод</w:t>
      </w:r>
      <w:r w:rsidRPr="001E480E">
        <w:rPr>
          <w:rFonts w:ascii="Times New Roman" w:hAnsi="Times New Roman" w:cs="Times New Roman"/>
          <w:iCs/>
          <w:sz w:val="28"/>
          <w:szCs w:val="28"/>
        </w:rPr>
        <w:t xml:space="preserve"> (bootstrap resampling).</w:t>
      </w:r>
      <w:r w:rsidRPr="001E480E">
        <w:rPr>
          <w:rFonts w:ascii="Times New Roman" w:hAnsi="Times New Roman" w:cs="Times New Roman"/>
          <w:iCs/>
          <w:sz w:val="28"/>
          <w:szCs w:val="28"/>
        </w:rPr>
        <w:br/>
        <w:t>Давайте я аккуратно изложу шаги на вашем примере с hfd_windows=[hfd1,hfd2,…,hfdm]hfd\_windows = [hfd_1, hfd_2, \dots, hfd_m]hfd_windows=[hfd1​,hfd2​,…,hfdm​].</w:t>
      </w:r>
    </w:p>
    <w:p w14:paraId="1EC5960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4E01F9D">
          <v:rect id="_x0000_i1026"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Алгоритм бутстрэпа</w:t>
      </w:r>
    </w:p>
    <w:p w14:paraId="11BD09B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У вас есть массив оценок:</w:t>
      </w:r>
    </w:p>
    <w:p w14:paraId="1C2B727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hfd_windows=[hfd1,hfd2,…,hfdm]hfd\_windows = [hfd_1, hfd_2, \dots, hfd_m]hfd_windows=[hfd1​,hfd2​,…,hfdm​] </w:t>
      </w:r>
    </w:p>
    <w:p w14:paraId="49D36B7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оценить </w:t>
      </w:r>
      <w:r w:rsidRPr="001E480E">
        <w:rPr>
          <w:rFonts w:ascii="Times New Roman" w:hAnsi="Times New Roman" w:cs="Times New Roman"/>
          <w:b/>
          <w:bCs/>
          <w:iCs/>
          <w:sz w:val="28"/>
          <w:szCs w:val="28"/>
        </w:rPr>
        <w:t>надёжность средней</w:t>
      </w:r>
      <w:r w:rsidRPr="001E480E">
        <w:rPr>
          <w:rFonts w:ascii="Times New Roman" w:hAnsi="Times New Roman" w:cs="Times New Roman"/>
          <w:iCs/>
          <w:sz w:val="28"/>
          <w:szCs w:val="28"/>
        </w:rPr>
        <w:t xml:space="preserve"> (или медианы, или другой статистики).</w:t>
      </w:r>
    </w:p>
    <w:p w14:paraId="4ECF8AF4"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этого вы </w:t>
      </w:r>
      <w:r w:rsidRPr="001E480E">
        <w:rPr>
          <w:rFonts w:ascii="Times New Roman" w:hAnsi="Times New Roman" w:cs="Times New Roman"/>
          <w:b/>
          <w:bCs/>
          <w:iCs/>
          <w:sz w:val="28"/>
          <w:szCs w:val="28"/>
        </w:rPr>
        <w:t>много раз (например, B = 1000–10000)</w:t>
      </w:r>
      <w:r w:rsidRPr="001E480E">
        <w:rPr>
          <w:rFonts w:ascii="Times New Roman" w:hAnsi="Times New Roman" w:cs="Times New Roman"/>
          <w:iCs/>
          <w:sz w:val="28"/>
          <w:szCs w:val="28"/>
        </w:rPr>
        <w:t xml:space="preserve"> делаете:</w:t>
      </w:r>
    </w:p>
    <w:p w14:paraId="0B1285BD"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случайно выбираете </w:t>
      </w:r>
      <w:r w:rsidRPr="001E480E">
        <w:rPr>
          <w:rFonts w:ascii="Times New Roman" w:hAnsi="Times New Roman" w:cs="Times New Roman"/>
          <w:b/>
          <w:bCs/>
          <w:iCs/>
          <w:sz w:val="28"/>
          <w:szCs w:val="28"/>
        </w:rPr>
        <w:t>m элементов с возвращением</w:t>
      </w:r>
      <w:r w:rsidRPr="001E480E">
        <w:rPr>
          <w:rFonts w:ascii="Times New Roman" w:hAnsi="Times New Roman" w:cs="Times New Roman"/>
          <w:iCs/>
          <w:sz w:val="28"/>
          <w:szCs w:val="28"/>
        </w:rPr>
        <w:t xml:space="preserve"> из массива hfd_windowshfd\_windowshfd_windows,</w:t>
      </w:r>
    </w:p>
    <w:p w14:paraId="60A167F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вычисляете среднее (или другую метрику) для этого «псевдовыборочного» набора,</w:t>
      </w:r>
    </w:p>
    <w:p w14:paraId="2B1F6E4A"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сохраняете результат.</w:t>
      </w:r>
    </w:p>
    <w:p w14:paraId="6FD6DFC0"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В итоге у вас будет распределение бутстрэп-оценок:</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(B)}\{ \bar{hfd}^{*(1)}, \bar{hfd}^{*(2)}, \dots, \bar{hfd}^{*(B)} \}{hfdˉ​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rsidP="001E480E">
      <w:pPr>
        <w:numPr>
          <w:ilvl w:val="0"/>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Из этого распределения можно:</w:t>
      </w:r>
    </w:p>
    <w:p w14:paraId="0D65023B"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посчитать доверительный интервал (например, 2.5 и 97.5 процентили → 95% CI),</w:t>
      </w:r>
    </w:p>
    <w:p w14:paraId="7713474E" w14:textId="77777777" w:rsidR="001E480E" w:rsidRPr="001E480E" w:rsidRDefault="001E480E" w:rsidP="001E480E">
      <w:pPr>
        <w:numPr>
          <w:ilvl w:val="1"/>
          <w:numId w:val="32"/>
        </w:numPr>
        <w:jc w:val="both"/>
        <w:rPr>
          <w:rFonts w:ascii="Times New Roman" w:hAnsi="Times New Roman" w:cs="Times New Roman"/>
          <w:iCs/>
          <w:sz w:val="28"/>
          <w:szCs w:val="28"/>
        </w:rPr>
      </w:pPr>
      <w:r w:rsidRPr="001E480E">
        <w:rPr>
          <w:rFonts w:ascii="Times New Roman" w:hAnsi="Times New Roman" w:cs="Times New Roman"/>
          <w:iCs/>
          <w:sz w:val="28"/>
          <w:szCs w:val="28"/>
        </w:rPr>
        <w:t>оценить смещение, дисперсию, стандартную ошибку.</w:t>
      </w:r>
    </w:p>
    <w:p w14:paraId="39A36C2E"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0529A42E">
          <v:rect id="_x0000_i1027"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кода на Python</w:t>
      </w:r>
    </w:p>
    <w:p w14:paraId="58FE626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import numpy as np</w:t>
      </w:r>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ваши оценки по окнам</w:t>
      </w:r>
    </w:p>
    <w:p w14:paraId="5D98C6AE"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hfd_windows = np.array([0.95,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параметры</w:t>
      </w:r>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 = 10000  # число бутстрэп-репликаций</w:t>
      </w:r>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m = len(hfd_windows)</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бутстрэп</w:t>
      </w:r>
    </w:p>
    <w:p w14:paraId="4EC04464"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w:t>
      </w:r>
    </w:p>
    <w:p w14:paraId="410C9B8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for _ in range(B):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sample = np.random.choice(hfd_windows, size=m, replace=True)</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bootstrap_means.append(np.mean(sample))</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np.array(bootstrap_means)</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доверительный интервал 95%</w:t>
      </w:r>
    </w:p>
    <w:p w14:paraId="0D4F7E1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ci_lower = np.percentile(bootstrap_means, 2.5)</w:t>
      </w:r>
    </w:p>
    <w:p w14:paraId="3DA5329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ci_upper = np.percentile(bootstrap_means,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print(f"Среднее HFD: {np.mean(hfd_windows):.3f}")</w:t>
      </w:r>
    </w:p>
    <w:p w14:paraId="689AFE2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print(f"95% доверительный интервал: [{ci_lower:.3f}, {ci_upper:.3f}]")</w:t>
      </w:r>
    </w:p>
    <w:p w14:paraId="1D15B6E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298C1988">
          <v:rect id="_x0000_i1028"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Такой бутстрэп особенно полезен, когда:</w:t>
      </w:r>
    </w:p>
    <w:p w14:paraId="4EB8B1D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распределение метрики неизвестно или не нормальное,</w:t>
      </w:r>
    </w:p>
    <w:p w14:paraId="1E8BE84A"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число окон не очень большое,</w:t>
      </w:r>
    </w:p>
    <w:p w14:paraId="785B2E87" w14:textId="77777777" w:rsidR="001E480E" w:rsidRPr="001E480E" w:rsidRDefault="001E480E" w:rsidP="001E480E">
      <w:pPr>
        <w:numPr>
          <w:ilvl w:val="0"/>
          <w:numId w:val="33"/>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аккуратно учесть зависимость между окнами (правда, для сильно перекрывающихся окон нужно быть осторожным — тогда ещё лучше делать </w:t>
      </w:r>
      <w:r w:rsidRPr="001E480E">
        <w:rPr>
          <w:rFonts w:ascii="Times New Roman" w:hAnsi="Times New Roman" w:cs="Times New Roman"/>
          <w:i/>
          <w:iCs/>
          <w:sz w:val="28"/>
          <w:szCs w:val="28"/>
        </w:rPr>
        <w:t>block bootstrap</w:t>
      </w:r>
      <w:r w:rsidRPr="001E480E">
        <w:rPr>
          <w:rFonts w:ascii="Times New Roman" w:hAnsi="Times New Roman" w:cs="Times New Roman"/>
          <w:iCs/>
          <w:sz w:val="28"/>
          <w:szCs w:val="28"/>
        </w:rPr>
        <w:t>).</w:t>
      </w:r>
    </w:p>
    <w:p w14:paraId="5D14F477"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EBC3F4F">
          <v:rect id="_x0000_i1029"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Хотите, я покажу, как именно адаптировать этот код для </w:t>
      </w:r>
      <w:r w:rsidRPr="001E480E">
        <w:rPr>
          <w:rFonts w:ascii="Times New Roman" w:hAnsi="Times New Roman" w:cs="Times New Roman"/>
          <w:b/>
          <w:bCs/>
          <w:iCs/>
          <w:sz w:val="28"/>
          <w:szCs w:val="28"/>
        </w:rPr>
        <w:t>перекрывающихся окон</w:t>
      </w:r>
      <w:r w:rsidRPr="001E480E">
        <w:rPr>
          <w:rFonts w:ascii="Times New Roman" w:hAnsi="Times New Roman" w:cs="Times New Roman"/>
          <w:iCs/>
          <w:sz w:val="28"/>
          <w:szCs w:val="28"/>
        </w:rPr>
        <w:t xml:space="preserve"> (block bootstrap), чтобы избежать «оптимистичных» доверительных интервалов?</w:t>
      </w:r>
    </w:p>
    <w:p w14:paraId="0E9E24F3" w14:textId="0640144A" w:rsidR="001E480E" w:rsidRDefault="001E480E" w:rsidP="00ED2CFA">
      <w:pPr>
        <w:ind w:firstLine="708"/>
        <w:jc w:val="both"/>
        <w:rPr>
          <w:rFonts w:ascii="Times New Roman" w:hAnsi="Times New Roman" w:cs="Times New Roman"/>
          <w:iCs/>
          <w:sz w:val="28"/>
          <w:szCs w:val="28"/>
          <w:lang w:val="ru-RU"/>
        </w:rPr>
      </w:pPr>
      <w:r w:rsidRPr="001E480E">
        <w:rPr>
          <w:rFonts w:ascii="Times New Roman" w:hAnsi="Times New Roman" w:cs="Times New Roman"/>
          <w:iCs/>
          <w:sz w:val="28"/>
          <w:szCs w:val="28"/>
        </w:rPr>
        <w:t xml:space="preserve">Проведите </w:t>
      </w:r>
      <w:r w:rsidRPr="001E480E">
        <w:rPr>
          <w:rFonts w:ascii="Times New Roman" w:hAnsi="Times New Roman" w:cs="Times New Roman"/>
          <w:b/>
          <w:bCs/>
          <w:iCs/>
          <w:sz w:val="28"/>
          <w:szCs w:val="28"/>
        </w:rPr>
        <w:t>анализ чувствительности</w:t>
      </w:r>
      <w:r w:rsidRPr="001E480E">
        <w:rPr>
          <w:rFonts w:ascii="Times New Roman" w:hAnsi="Times New Roman" w:cs="Times New Roman"/>
          <w:iCs/>
          <w:sz w:val="28"/>
          <w:szCs w:val="28"/>
        </w:rPr>
        <w:t>: посчитайте HFD при нескольких kmax (например, 6–12) и убедитесь, что тренд стабилен.</w:t>
      </w:r>
    </w:p>
    <w:p w14:paraId="67682D72" w14:textId="77777777" w:rsidR="001E480E" w:rsidRPr="001E480E" w:rsidRDefault="001E480E" w:rsidP="001E480E">
      <w:pPr>
        <w:numPr>
          <w:ilvl w:val="0"/>
          <w:numId w:val="34"/>
        </w:numPr>
        <w:jc w:val="both"/>
        <w:rPr>
          <w:rFonts w:ascii="Times New Roman" w:hAnsi="Times New Roman" w:cs="Times New Roman"/>
          <w:iCs/>
          <w:sz w:val="28"/>
          <w:szCs w:val="28"/>
        </w:rPr>
      </w:pPr>
      <w:r w:rsidRPr="001E480E">
        <w:rPr>
          <w:rFonts w:ascii="Times New Roman" w:hAnsi="Times New Roman" w:cs="Times New Roman"/>
          <w:iCs/>
          <w:sz w:val="28"/>
          <w:szCs w:val="28"/>
        </w:rPr>
        <w:t>Стационарность</w:t>
      </w:r>
    </w:p>
    <w:p w14:paraId="22A46660" w14:textId="77777777" w:rsidR="001E480E" w:rsidRPr="001E480E" w:rsidRDefault="001E480E" w:rsidP="001E480E">
      <w:pPr>
        <w:numPr>
          <w:ilvl w:val="0"/>
          <w:numId w:val="35"/>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ЭКГ/ВСР — нестационарны. Усреднение сглаживает </w:t>
      </w:r>
      <w:r w:rsidRPr="001E480E">
        <w:rPr>
          <w:rFonts w:ascii="Times New Roman" w:hAnsi="Times New Roman" w:cs="Times New Roman"/>
          <w:b/>
          <w:bCs/>
          <w:iCs/>
          <w:sz w:val="28"/>
          <w:szCs w:val="28"/>
        </w:rPr>
        <w:t>локальные изменения</w:t>
      </w:r>
      <w:r w:rsidRPr="001E480E">
        <w:rPr>
          <w:rFonts w:ascii="Times New Roman" w:hAnsi="Times New Roman" w:cs="Times New Roman"/>
          <w:iCs/>
          <w:sz w:val="28"/>
          <w:szCs w:val="28"/>
        </w:rPr>
        <w:t xml:space="preserve">. Поэтому помимо одной сводной цифры полезно хранить </w:t>
      </w:r>
      <w:r w:rsidRPr="001E480E">
        <w:rPr>
          <w:rFonts w:ascii="Times New Roman" w:hAnsi="Times New Roman" w:cs="Times New Roman"/>
          <w:b/>
          <w:bCs/>
          <w:iCs/>
          <w:sz w:val="28"/>
          <w:szCs w:val="28"/>
        </w:rPr>
        <w:t>профиль HFD(t)</w:t>
      </w:r>
      <w:r w:rsidRPr="001E480E">
        <w:rPr>
          <w:rFonts w:ascii="Times New Roman" w:hAnsi="Times New Roman" w:cs="Times New Roman"/>
          <w:iCs/>
          <w:sz w:val="28"/>
          <w:szCs w:val="28"/>
        </w:rPr>
        <w:t xml:space="preserve"> и, например, его медиану + IQR.</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669FA64E" w14:textId="77777777" w:rsidR="008F508F" w:rsidRDefault="008F508F" w:rsidP="00ED2CFA">
      <w:pPr>
        <w:ind w:firstLine="708"/>
        <w:jc w:val="both"/>
        <w:rPr>
          <w:rFonts w:ascii="Times New Roman" w:hAnsi="Times New Roman" w:cs="Times New Roman"/>
          <w:iCs/>
          <w:sz w:val="28"/>
          <w:szCs w:val="28"/>
          <w:lang w:val="ru-RU"/>
        </w:rPr>
      </w:pPr>
    </w:p>
    <w:p w14:paraId="35405E3F" w14:textId="514BC196" w:rsidR="008F508F" w:rsidRDefault="00737031" w:rsidP="008F508F">
      <w:pPr>
        <w:rPr>
          <w:b/>
          <w:bCs/>
        </w:rPr>
      </w:pPr>
      <w:r>
        <w:rPr>
          <w:b/>
          <w:bCs/>
          <w:lang w:val="ru-RU"/>
        </w:rPr>
        <w:t>Базо</w:t>
      </w:r>
      <w:r>
        <w:rPr>
          <w:b/>
          <w:bCs/>
        </w:rPr>
        <w:t>ві</w:t>
      </w:r>
      <w:r w:rsidR="008F508F" w:rsidRPr="00761F38">
        <w:rPr>
          <w:b/>
          <w:bCs/>
        </w:rPr>
        <w:t xml:space="preserve"> частотн</w:t>
      </w:r>
      <w:r>
        <w:rPr>
          <w:b/>
          <w:bCs/>
        </w:rPr>
        <w:t>і</w:t>
      </w:r>
      <w:r w:rsidR="008F508F" w:rsidRPr="00761F38">
        <w:rPr>
          <w:b/>
          <w:bCs/>
        </w:rPr>
        <w:t xml:space="preserve"> диапазон</w:t>
      </w:r>
      <w:r>
        <w:rPr>
          <w:b/>
          <w:bCs/>
        </w:rPr>
        <w:t>и</w:t>
      </w:r>
      <w:r w:rsidR="008F508F" w:rsidRPr="00761F38">
        <w:rPr>
          <w:b/>
          <w:bCs/>
        </w:rPr>
        <w:t xml:space="preserve"> ВСР (для </w:t>
      </w:r>
      <w:r>
        <w:rPr>
          <w:b/>
          <w:bCs/>
        </w:rPr>
        <w:t>дорослих</w:t>
      </w:r>
      <w:r w:rsidR="008F508F" w:rsidRPr="00761F38">
        <w:rPr>
          <w:b/>
          <w:bCs/>
        </w:rPr>
        <w:t xml:space="preserve">, в </w:t>
      </w:r>
      <w:r>
        <w:rPr>
          <w:b/>
          <w:bCs/>
        </w:rPr>
        <w:t>стані спокою</w:t>
      </w:r>
      <w:r w:rsidR="008F508F" w:rsidRPr="00761F38">
        <w:rPr>
          <w:b/>
          <w:bCs/>
        </w:rPr>
        <w:t>)</w:t>
      </w:r>
      <w:r>
        <w:rPr>
          <w:b/>
          <w:bCs/>
        </w:rPr>
        <w:t>:</w:t>
      </w:r>
    </w:p>
    <w:p w14:paraId="016C6710" w14:textId="76E2D599" w:rsidR="008F508F" w:rsidRPr="00FC54A0" w:rsidRDefault="008F508F" w:rsidP="008F508F">
      <w:pPr>
        <w:numPr>
          <w:ilvl w:val="0"/>
          <w:numId w:val="29"/>
        </w:numPr>
        <w:spacing w:after="200" w:line="276" w:lineRule="auto"/>
        <w:rPr>
          <w:b/>
          <w:bCs/>
          <w:highlight w:val="yellow"/>
        </w:rPr>
      </w:pPr>
      <w:r w:rsidRPr="00FC54A0">
        <w:rPr>
          <w:b/>
          <w:bCs/>
          <w:highlight w:val="yellow"/>
        </w:rPr>
        <w:t>HF (High Frequency): 0.15–0.40 Гц (дыхательная синусовая аритмия)</w:t>
      </w:r>
      <w:r w:rsidR="00737031">
        <w:rPr>
          <w:b/>
          <w:bCs/>
          <w:highlight w:val="yellow"/>
        </w:rPr>
        <w:t>;</w:t>
      </w:r>
    </w:p>
    <w:p w14:paraId="36BA91ED" w14:textId="77777777" w:rsidR="008F508F" w:rsidRPr="00FC54A0" w:rsidRDefault="008F508F" w:rsidP="008F508F">
      <w:pPr>
        <w:numPr>
          <w:ilvl w:val="0"/>
          <w:numId w:val="29"/>
        </w:numPr>
        <w:spacing w:after="200" w:line="276" w:lineRule="auto"/>
        <w:rPr>
          <w:b/>
          <w:bCs/>
          <w:highlight w:val="yellow"/>
        </w:rPr>
      </w:pPr>
      <w:r w:rsidRPr="00FC54A0">
        <w:rPr>
          <w:b/>
          <w:bCs/>
          <w:highlight w:val="yellow"/>
        </w:rPr>
        <w:t>LF (Low Frequency): 0.04–0.15 Гц.</w:t>
      </w:r>
    </w:p>
    <w:p w14:paraId="2E7D0505" w14:textId="77777777" w:rsidR="008F508F" w:rsidRPr="008F508F" w:rsidRDefault="008F508F" w:rsidP="008F508F">
      <w:pPr>
        <w:numPr>
          <w:ilvl w:val="0"/>
          <w:numId w:val="29"/>
        </w:numPr>
        <w:spacing w:after="200" w:line="276" w:lineRule="auto"/>
        <w:rPr>
          <w:b/>
          <w:bCs/>
          <w:highlight w:val="red"/>
        </w:rPr>
      </w:pPr>
      <w:r w:rsidRPr="008F508F">
        <w:rPr>
          <w:b/>
          <w:bCs/>
          <w:highlight w:val="red"/>
        </w:rPr>
        <w:t>VLF (Very Low Frequency): 0.003–0.04 Гц.</w:t>
      </w:r>
    </w:p>
    <w:p w14:paraId="23EF36DC" w14:textId="77777777" w:rsidR="008F508F" w:rsidRPr="00666A1D" w:rsidRDefault="008F508F" w:rsidP="00ED2CFA">
      <w:pPr>
        <w:ind w:firstLine="708"/>
        <w:jc w:val="both"/>
        <w:rPr>
          <w:rFonts w:ascii="Times New Roman" w:hAnsi="Times New Roman" w:cs="Times New Roman"/>
          <w:iCs/>
          <w:sz w:val="28"/>
          <w:szCs w:val="28"/>
          <w:lang w:val="en-US"/>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Практическое правило (рекомендуется)</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адекватной оценки компоненты с частотой f_min нужно, чтобы в окне было </w:t>
      </w:r>
      <w:r w:rsidRPr="008F508F">
        <w:rPr>
          <w:rFonts w:ascii="Times New Roman" w:hAnsi="Times New Roman" w:cs="Times New Roman"/>
          <w:b/>
          <w:bCs/>
          <w:iCs/>
          <w:sz w:val="28"/>
          <w:szCs w:val="28"/>
        </w:rPr>
        <w:t>несколько (обычно 3–5) циклов</w:t>
      </w:r>
      <w:r w:rsidRPr="008F508F">
        <w:rPr>
          <w:rFonts w:ascii="Times New Roman" w:hAnsi="Times New Roman" w:cs="Times New Roman"/>
          <w:iCs/>
          <w:sz w:val="28"/>
          <w:szCs w:val="28"/>
        </w:rPr>
        <w:t xml:space="preserve"> этой частоты:</w:t>
      </w:r>
    </w:p>
    <w:p w14:paraId="053340A0"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window_length_seconds ≈ cycles / f_min</w:t>
      </w:r>
    </w:p>
    <w:p w14:paraId="1A42FC37" w14:textId="77777777" w:rsidR="008F508F" w:rsidRDefault="008F508F" w:rsidP="008F508F">
      <w:pPr>
        <w:ind w:firstLine="708"/>
        <w:jc w:val="both"/>
        <w:rPr>
          <w:rFonts w:ascii="Times New Roman" w:hAnsi="Times New Roman" w:cs="Times New Roman"/>
          <w:iCs/>
          <w:sz w:val="28"/>
          <w:szCs w:val="28"/>
          <w:lang w:val="ru-RU"/>
        </w:rPr>
      </w:pPr>
      <w:r w:rsidRPr="008F508F">
        <w:rPr>
          <w:rFonts w:ascii="Times New Roman" w:hAnsi="Times New Roman" w:cs="Times New Roman"/>
          <w:iCs/>
          <w:sz w:val="28"/>
          <w:szCs w:val="28"/>
        </w:rPr>
        <w:t>где cycles = 3…5 (на выбор; 3 — минимально, 5 — лучше).</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lastRenderedPageBreak/>
        <w:t>Что это значит для HFD/фрактального анализа</w:t>
      </w:r>
    </w:p>
    <w:p w14:paraId="41087A37"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Фрактальная размерность Хигучи тоже чувствительна к длине окна: слишком короткое окно → шумная/смещённая оценка; слишком длинное → теряется временное разрешение и увеличивается нестационарность.</w:t>
      </w:r>
    </w:p>
    <w:p w14:paraId="7D455B21"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Практика: рассчитывать HFD на нескольких масштабах/разных длинах окна (мульти-scale), проверять чувствительность.</w:t>
      </w:r>
    </w:p>
    <w:p w14:paraId="68C6084E" w14:textId="77777777" w:rsidR="008F508F" w:rsidRPr="008F508F" w:rsidRDefault="008F508F" w:rsidP="008F508F">
      <w:pPr>
        <w:numPr>
          <w:ilvl w:val="0"/>
          <w:numId w:val="30"/>
        </w:numPr>
        <w:jc w:val="both"/>
        <w:rPr>
          <w:rFonts w:ascii="Times New Roman" w:hAnsi="Times New Roman" w:cs="Times New Roman"/>
          <w:iCs/>
          <w:sz w:val="28"/>
          <w:szCs w:val="28"/>
        </w:rPr>
      </w:pPr>
      <w:r w:rsidRPr="008F508F">
        <w:rPr>
          <w:rFonts w:ascii="Times New Roman" w:hAnsi="Times New Roman" w:cs="Times New Roman"/>
          <w:iCs/>
          <w:sz w:val="28"/>
          <w:szCs w:val="28"/>
        </w:rPr>
        <w:t>Для окон, которые вы используете для усреднения HFD, применяйте правило N / k_max ≥ 10 (см. ваши ранее указанные ограничения).</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Взято 300 серцевих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6. Артефакты от электродов/кабеля</w:t>
      </w:r>
    </w:p>
    <w:p w14:paraId="1D2211AC"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поломка провода, плохое экранирование.</w:t>
      </w:r>
    </w:p>
    <w:p w14:paraId="3F0CA816" w14:textId="77777777" w:rsidR="003208B8" w:rsidRPr="003208B8" w:rsidRDefault="003208B8" w:rsidP="003208B8">
      <w:pPr>
        <w:numPr>
          <w:ilvl w:val="0"/>
          <w:numId w:val="25"/>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«ступеньки» или дрожание линии.</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Дрейф изолинии</w:t>
      </w:r>
    </w:p>
    <w:p w14:paraId="349E4089"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дыхание, плохой контакт электродов, движение кожи.</w:t>
      </w:r>
    </w:p>
    <w:p w14:paraId="361E8FB4" w14:textId="77777777" w:rsidR="003208B8" w:rsidRPr="003208B8" w:rsidRDefault="003208B8" w:rsidP="003208B8">
      <w:pPr>
        <w:numPr>
          <w:ilvl w:val="0"/>
          <w:numId w:val="26"/>
        </w:numPr>
        <w:jc w:val="both"/>
        <w:rPr>
          <w:rFonts w:ascii="Times New Roman" w:hAnsi="Times New Roman" w:cs="Times New Roman"/>
          <w:iCs/>
          <w:sz w:val="28"/>
          <w:szCs w:val="28"/>
        </w:rPr>
      </w:pPr>
      <w:r w:rsidRPr="003208B8">
        <w:rPr>
          <w:rFonts w:ascii="Times New Roman" w:hAnsi="Times New Roman" w:cs="Times New Roman"/>
          <w:iCs/>
          <w:sz w:val="28"/>
          <w:szCs w:val="28"/>
        </w:rPr>
        <w:t>Вид: медленные колебания базовой линии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2. Артефакты движения электродов</w:t>
      </w:r>
    </w:p>
    <w:p w14:paraId="45B6CB70"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плохой контакт электрода с кожей (потоотделение, смещение).</w:t>
      </w:r>
    </w:p>
    <w:p w14:paraId="10A76607" w14:textId="77777777" w:rsidR="003208B8" w:rsidRPr="003208B8" w:rsidRDefault="003208B8" w:rsidP="003208B8">
      <w:pPr>
        <w:numPr>
          <w:ilvl w:val="0"/>
          <w:numId w:val="27"/>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скачки, дрейф изолинии, большие «провалы» сигнала.</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1. Мышечные артефакты (ЭМГ-наводки)</w:t>
      </w:r>
    </w:p>
    <w:p w14:paraId="53266CCF"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сокращения скелетных мышц (движение пациента, тремор).</w:t>
      </w:r>
    </w:p>
    <w:p w14:paraId="0429205D" w14:textId="77777777" w:rsidR="003208B8" w:rsidRPr="003208B8" w:rsidRDefault="003208B8" w:rsidP="003208B8">
      <w:pPr>
        <w:numPr>
          <w:ilvl w:val="0"/>
          <w:numId w:val="28"/>
        </w:numPr>
        <w:jc w:val="both"/>
        <w:rPr>
          <w:rFonts w:ascii="Times New Roman" w:hAnsi="Times New Roman" w:cs="Times New Roman"/>
          <w:iCs/>
          <w:sz w:val="28"/>
          <w:szCs w:val="28"/>
        </w:rPr>
      </w:pPr>
      <w:r w:rsidRPr="003208B8">
        <w:rPr>
          <w:rFonts w:ascii="Times New Roman" w:hAnsi="Times New Roman" w:cs="Times New Roman"/>
          <w:iCs/>
          <w:sz w:val="28"/>
          <w:szCs w:val="28"/>
        </w:rPr>
        <w:t>Вид: «рваный», высокочастотный шум, особенно заметный в изолинии.</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Хигучи в каждом окне должно выполняться грубое правило: </w:t>
      </w:r>
      <w:r w:rsidRPr="003208B8">
        <w:rPr>
          <w:rFonts w:ascii="Times New Roman" w:hAnsi="Times New Roman" w:cs="Times New Roman"/>
          <w:b/>
          <w:bCs/>
          <w:iCs/>
          <w:sz w:val="28"/>
          <w:szCs w:val="28"/>
        </w:rPr>
        <w:t>N/kmax ≥ 10–20</w:t>
      </w:r>
      <w:r w:rsidRPr="003208B8">
        <w:rPr>
          <w:rFonts w:ascii="Times New Roman" w:hAnsi="Times New Roman" w:cs="Times New Roman"/>
          <w:iCs/>
          <w:sz w:val="28"/>
          <w:szCs w:val="28"/>
        </w:rPr>
        <w:t xml:space="preserve"> (где N — число точек в окне). Иначе оценка шумная и смещённая.</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r w:rsidRPr="00864C8B">
        <w:rPr>
          <w:rFonts w:ascii="Times New Roman" w:hAnsi="Times New Roman" w:cs="Times New Roman"/>
          <w:b/>
          <w:bCs/>
          <w:iCs/>
          <w:sz w:val="28"/>
          <w:szCs w:val="28"/>
        </w:rPr>
        <w:t>Последствия</w:t>
      </w:r>
    </w:p>
    <w:p w14:paraId="158B0DA3"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1296F02C"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lastRenderedPageBreak/>
        <w:t xml:space="preserve">Плохо: нельзя считать, что у нас «много независимых измерений» — реальная </w:t>
      </w:r>
      <w:r w:rsidRPr="00864C8B">
        <w:rPr>
          <w:rFonts w:ascii="Times New Roman" w:hAnsi="Times New Roman" w:cs="Times New Roman"/>
          <w:b/>
          <w:bCs/>
          <w:iCs/>
          <w:sz w:val="28"/>
          <w:szCs w:val="28"/>
        </w:rPr>
        <w:t>эффективная размерность выборки меньше</w:t>
      </w:r>
      <w:r w:rsidRPr="00864C8B">
        <w:rPr>
          <w:rFonts w:ascii="Times New Roman" w:hAnsi="Times New Roman" w:cs="Times New Roman"/>
          <w:iCs/>
          <w:sz w:val="28"/>
          <w:szCs w:val="28"/>
        </w:rPr>
        <w:t>.</w:t>
      </w:r>
    </w:p>
    <w:p w14:paraId="4388862D" w14:textId="77777777" w:rsidR="00864C8B" w:rsidRPr="00864C8B" w:rsidRDefault="00864C8B" w:rsidP="00864C8B">
      <w:pPr>
        <w:numPr>
          <w:ilvl w:val="0"/>
          <w:numId w:val="31"/>
        </w:numPr>
        <w:jc w:val="both"/>
        <w:rPr>
          <w:rFonts w:ascii="Times New Roman" w:hAnsi="Times New Roman" w:cs="Times New Roman"/>
          <w:iCs/>
          <w:sz w:val="28"/>
          <w:szCs w:val="28"/>
        </w:rPr>
      </w:pPr>
      <w:r w:rsidRPr="00864C8B">
        <w:rPr>
          <w:rFonts w:ascii="Times New Roman" w:hAnsi="Times New Roman" w:cs="Times New Roman"/>
          <w:iCs/>
          <w:sz w:val="28"/>
          <w:szCs w:val="28"/>
        </w:rPr>
        <w:t>В статистике это значит: стандартные ошибки будут занижены, p-value — оптимистичными.</w:t>
      </w:r>
    </w:p>
    <w:p w14:paraId="64490D26" w14:textId="107F11D2" w:rsidR="00864C8B" w:rsidRPr="00864C8B" w:rsidRDefault="00864C8B" w:rsidP="00ED2CFA">
      <w:pPr>
        <w:ind w:firstLine="708"/>
        <w:jc w:val="both"/>
        <w:rPr>
          <w:rFonts w:ascii="Times New Roman" w:hAnsi="Times New Roman" w:cs="Times New Roman"/>
          <w:iCs/>
          <w:sz w:val="28"/>
          <w:szCs w:val="28"/>
        </w:rPr>
      </w:pPr>
      <w:r w:rsidRPr="00864C8B">
        <w:rPr>
          <w:rFonts w:ascii="Times New Roman" w:hAnsi="Times New Roman" w:cs="Times New Roman"/>
          <w:iCs/>
          <w:sz w:val="28"/>
          <w:szCs w:val="28"/>
        </w:rPr>
        <w:t xml:space="preserve">Из-за артефактов и экстрасистол лучше брать </w:t>
      </w:r>
      <w:r w:rsidRPr="00864C8B">
        <w:rPr>
          <w:rFonts w:ascii="Times New Roman" w:hAnsi="Times New Roman" w:cs="Times New Roman"/>
          <w:b/>
          <w:bCs/>
          <w:iCs/>
          <w:sz w:val="28"/>
          <w:szCs w:val="28"/>
        </w:rPr>
        <w:t>медиану</w:t>
      </w:r>
      <w:r w:rsidRPr="00864C8B">
        <w:rPr>
          <w:rFonts w:ascii="Times New Roman" w:hAnsi="Times New Roman" w:cs="Times New Roman"/>
          <w:iCs/>
          <w:sz w:val="28"/>
          <w:szCs w:val="28"/>
        </w:rPr>
        <w:t xml:space="preserve"> или </w:t>
      </w:r>
      <w:r w:rsidRPr="00864C8B">
        <w:rPr>
          <w:rFonts w:ascii="Times New Roman" w:hAnsi="Times New Roman" w:cs="Times New Roman"/>
          <w:b/>
          <w:bCs/>
          <w:iCs/>
          <w:sz w:val="28"/>
          <w:szCs w:val="28"/>
        </w:rPr>
        <w:t>усечённое среднее (trimmed mean 10–20%)</w:t>
      </w:r>
      <w:r w:rsidRPr="00864C8B">
        <w:rPr>
          <w:rFonts w:ascii="Times New Roman" w:hAnsi="Times New Roman" w:cs="Times New Roman"/>
          <w:iCs/>
          <w:sz w:val="28"/>
          <w:szCs w:val="28"/>
        </w:rPr>
        <w:t>, плюс интерквартильный размах как меру разброса.</w:t>
      </w:r>
    </w:p>
    <w:p w14:paraId="63F2000D" w14:textId="63FF62CC" w:rsidR="004A1963" w:rsidRDefault="004A1963" w:rsidP="00346D00">
      <w:pPr>
        <w:ind w:firstLine="708"/>
        <w:rPr>
          <w:b/>
          <w:bCs/>
        </w:rPr>
      </w:pPr>
      <w:r w:rsidRPr="004A1963">
        <w:rPr>
          <w:b/>
          <w:bCs/>
        </w:rPr>
        <w:t>Machine Learning Model</w:t>
      </w:r>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3"/>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4"/>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Also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r w:rsidRPr="007A2CC0">
        <w:rPr>
          <w:rFonts w:ascii="Times New Roman" w:hAnsi="Times New Roman" w:cs="Times New Roman"/>
          <w:b/>
          <w:bCs/>
          <w:sz w:val="28"/>
          <w:szCs w:val="28"/>
        </w:rPr>
        <w:t>Comparison with Other Methods</w:t>
      </w:r>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A study conducted at the Institute of Gerontology of the Academy of Sciences of Ukraine by O.V. Korkushko and co-authors [11] showed that HRV changes naturally in the process of ontogenesis: first it increases, in accordance with the development of the organism, and then, after 40 years, it progressively decreases. The conclusion is made about the development of vegetative regulation of the cardiovascular system in the first period of ontogenesis and its gradual involution during aging. The linear regression model developed by A. V. Pisaruk gave the average absolute value of the error in calculating HRV for both sexes of 5.67 years.</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r w:rsidRPr="007A2CC0">
        <w:rPr>
          <w:rFonts w:ascii="Times New Roman" w:hAnsi="Times New Roman" w:cs="Times New Roman"/>
          <w:sz w:val="28"/>
          <w:szCs w:val="28"/>
        </w:rPr>
        <w:t>Therefore, we can conclude that the linear regression model based only on the Higuchi fractal dimension gives an average absolute error of 10–11 years more compared to the model of the Institute of Gerontology of the Academy of Sciences of Ukraine, which includes three biomarkers.</w:t>
      </w:r>
    </w:p>
    <w:p w14:paraId="50232D57" w14:textId="77777777" w:rsidR="004A1963" w:rsidRPr="004A1963" w:rsidRDefault="00000000" w:rsidP="004A1963">
      <w:r>
        <w:pict w14:anchorId="37C56F71">
          <v:rect id="_x0000_i1030"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lastRenderedPageBreak/>
        <w:pict w14:anchorId="2C510EA1">
          <v:rect id="_x0000_i1031"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2"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References</w:t>
      </w:r>
    </w:p>
    <w:p w14:paraId="79015672" w14:textId="77777777" w:rsidR="00612688" w:rsidRDefault="00612688" w:rsidP="00612688">
      <w:pPr>
        <w:pStyle w:val="NormalWeb"/>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F08A7A4" w14:textId="364F910C" w:rsidR="003D5571" w:rsidRPr="003D5571" w:rsidRDefault="003D5571" w:rsidP="003D5571">
      <w:pPr>
        <w:pStyle w:val="ListParagraph"/>
        <w:numPr>
          <w:ilvl w:val="0"/>
          <w:numId w:val="9"/>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15"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rsidP="009A681C">
      <w:pPr>
        <w:pStyle w:val="NormalWeb"/>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NormalWeb"/>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ListParagraph"/>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6" w:history="1">
        <w:r w:rsidR="00F4205D" w:rsidRPr="006C23C5">
          <w:rPr>
            <w:rStyle w:val="Hyperlink"/>
          </w:rPr>
          <w:t>https://10.3389/fcvm.2023.1137892</w:t>
        </w:r>
      </w:hyperlink>
      <w:r w:rsidRPr="009C3AC7">
        <w:t>.</w:t>
      </w:r>
    </w:p>
    <w:p w14:paraId="7458DEE7" w14:textId="108F1B40" w:rsidR="00F4205D" w:rsidRPr="005638FF" w:rsidRDefault="00F4205D" w:rsidP="005B522B">
      <w:pPr>
        <w:pStyle w:val="ListParagraph"/>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ListParagraph"/>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7" w:history="1">
        <w:r w:rsidR="002D087D" w:rsidRPr="00952D74">
          <w:rPr>
            <w:rStyle w:val="Hyperlink"/>
          </w:rPr>
          <w:t>https://doi.org/10.1101/2024.06.15.599168</w:t>
        </w:r>
      </w:hyperlink>
      <w:r w:rsidRPr="005638FF">
        <w:t>.</w:t>
      </w:r>
    </w:p>
    <w:p w14:paraId="2523DA4D" w14:textId="3BEA255D" w:rsidR="002D087D" w:rsidRDefault="000162D7" w:rsidP="005B522B">
      <w:pPr>
        <w:pStyle w:val="ListParagraph"/>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8" w:history="1">
        <w:r w:rsidRPr="00952D74">
          <w:rPr>
            <w:rStyle w:val="Hyperlink"/>
          </w:rPr>
          <w:t>https://10.11648/j.cbb.20241201.12</w:t>
        </w:r>
      </w:hyperlink>
      <w:r w:rsidRPr="000162D7">
        <w:t>.</w:t>
      </w:r>
    </w:p>
    <w:p w14:paraId="54945DCD" w14:textId="53F3FCDE" w:rsidR="000162D7" w:rsidRPr="00A63BD3" w:rsidRDefault="000162D7" w:rsidP="005B522B">
      <w:pPr>
        <w:pStyle w:val="ListParagraph"/>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9" w:history="1">
        <w:r w:rsidRPr="000162D7">
          <w:rPr>
            <w:rStyle w:val="Hyperlink"/>
          </w:rPr>
          <w:t>https://doi.org/10.13026/2hsy-t491</w:t>
        </w:r>
      </w:hyperlink>
      <w:r w:rsidRPr="000162D7">
        <w:t>.</w:t>
      </w:r>
    </w:p>
    <w:p w14:paraId="450BB782" w14:textId="43F8B98B" w:rsidR="00A63BD3" w:rsidRPr="000B3A87" w:rsidRDefault="00A63BD3" w:rsidP="000B3A87">
      <w:pPr>
        <w:pStyle w:val="ListParagraph"/>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Explanatory Variables,” Rev Account Stud, vol. 29, pp. 3053–3083, Jul. 2023, doi:https://doi.org/10.1007/s11142-023-09781-w</w:t>
      </w:r>
    </w:p>
    <w:p w14:paraId="7CBB9965" w14:textId="3D23E34A" w:rsidR="000B3A87" w:rsidRPr="000B3A87" w:rsidRDefault="000B3A87" w:rsidP="000B3A87">
      <w:pPr>
        <w:pStyle w:val="ListParagraph"/>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8B7F3C">
        <w:rPr>
          <w:sz w:val="28"/>
          <w:szCs w:val="28"/>
        </w:rPr>
        <w:t>Писарук А.В., Шатило В.Б., Антонюк-Щеглова І.А., Кошель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егресійні та нейромережні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lastRenderedPageBreak/>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3"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4"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lastRenderedPageBreak/>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5"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6"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7"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8"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9" style="width:0;height:1.5pt" o:hralign="center" o:hrstd="t" o:hr="t" fillcolor="#a0a0a0" stroked="f"/>
        </w:pict>
      </w:r>
    </w:p>
    <w:p w14:paraId="20CC656B" w14:textId="77777777" w:rsidR="001E5C9A" w:rsidRPr="001E5C9A" w:rsidRDefault="001E5C9A" w:rsidP="001E5C9A">
      <w:pPr>
        <w:ind w:left="360"/>
      </w:pPr>
      <w:r w:rsidRPr="001E5C9A">
        <w:lastRenderedPageBreak/>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A64C4"/>
    <w:multiLevelType w:val="hybridMultilevel"/>
    <w:tmpl w:val="F68AD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A29AB"/>
    <w:multiLevelType w:val="multilevel"/>
    <w:tmpl w:val="73B0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32775"/>
    <w:multiLevelType w:val="hybridMultilevel"/>
    <w:tmpl w:val="B1D4C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35E3E"/>
    <w:multiLevelType w:val="multilevel"/>
    <w:tmpl w:val="91C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93727"/>
    <w:multiLevelType w:val="multilevel"/>
    <w:tmpl w:val="23D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B5A93"/>
    <w:multiLevelType w:val="multilevel"/>
    <w:tmpl w:val="064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392488">
    <w:abstractNumId w:val="14"/>
  </w:num>
  <w:num w:numId="2" w16cid:durableId="1101144823">
    <w:abstractNumId w:val="21"/>
  </w:num>
  <w:num w:numId="3" w16cid:durableId="1406293613">
    <w:abstractNumId w:val="1"/>
  </w:num>
  <w:num w:numId="4" w16cid:durableId="1262445275">
    <w:abstractNumId w:val="27"/>
  </w:num>
  <w:num w:numId="5" w16cid:durableId="995764128">
    <w:abstractNumId w:val="11"/>
  </w:num>
  <w:num w:numId="6" w16cid:durableId="1463033085">
    <w:abstractNumId w:val="25"/>
  </w:num>
  <w:num w:numId="7" w16cid:durableId="1548033728">
    <w:abstractNumId w:val="19"/>
  </w:num>
  <w:num w:numId="8" w16cid:durableId="425856020">
    <w:abstractNumId w:val="4"/>
  </w:num>
  <w:num w:numId="9" w16cid:durableId="731342943">
    <w:abstractNumId w:val="28"/>
  </w:num>
  <w:num w:numId="10" w16cid:durableId="2143228945">
    <w:abstractNumId w:val="17"/>
  </w:num>
  <w:num w:numId="11" w16cid:durableId="261693045">
    <w:abstractNumId w:val="18"/>
  </w:num>
  <w:num w:numId="12" w16cid:durableId="160703934">
    <w:abstractNumId w:val="13"/>
  </w:num>
  <w:num w:numId="13" w16cid:durableId="1140732963">
    <w:abstractNumId w:val="9"/>
  </w:num>
  <w:num w:numId="14" w16cid:durableId="1021661317">
    <w:abstractNumId w:val="30"/>
  </w:num>
  <w:num w:numId="15" w16cid:durableId="779376771">
    <w:abstractNumId w:val="15"/>
  </w:num>
  <w:num w:numId="16" w16cid:durableId="754282616">
    <w:abstractNumId w:val="3"/>
  </w:num>
  <w:num w:numId="17" w16cid:durableId="1684437235">
    <w:abstractNumId w:val="8"/>
  </w:num>
  <w:num w:numId="18" w16cid:durableId="910694671">
    <w:abstractNumId w:val="6"/>
  </w:num>
  <w:num w:numId="19" w16cid:durableId="1168251588">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49507020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40401566">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489054830">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856531585">
    <w:abstractNumId w:val="12"/>
  </w:num>
  <w:num w:numId="24" w16cid:durableId="300770595">
    <w:abstractNumId w:val="24"/>
  </w:num>
  <w:num w:numId="25" w16cid:durableId="1025716989">
    <w:abstractNumId w:val="20"/>
  </w:num>
  <w:num w:numId="26" w16cid:durableId="1492453708">
    <w:abstractNumId w:val="16"/>
  </w:num>
  <w:num w:numId="27" w16cid:durableId="1362510705">
    <w:abstractNumId w:val="2"/>
  </w:num>
  <w:num w:numId="28" w16cid:durableId="1015576369">
    <w:abstractNumId w:val="7"/>
  </w:num>
  <w:num w:numId="29" w16cid:durableId="1966695874">
    <w:abstractNumId w:val="22"/>
  </w:num>
  <w:num w:numId="30" w16cid:durableId="1974170466">
    <w:abstractNumId w:val="31"/>
  </w:num>
  <w:num w:numId="31" w16cid:durableId="736711921">
    <w:abstractNumId w:val="29"/>
  </w:num>
  <w:num w:numId="32" w16cid:durableId="1993212611">
    <w:abstractNumId w:val="32"/>
  </w:num>
  <w:num w:numId="33" w16cid:durableId="2131244750">
    <w:abstractNumId w:val="5"/>
  </w:num>
  <w:num w:numId="34" w16cid:durableId="943922220">
    <w:abstractNumId w:val="23"/>
  </w:num>
  <w:num w:numId="35" w16cid:durableId="722607505">
    <w:abstractNumId w:val="0"/>
  </w:num>
  <w:num w:numId="36" w16cid:durableId="606622099">
    <w:abstractNumId w:val="26"/>
  </w:num>
  <w:num w:numId="37" w16cid:durableId="9167180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2004D"/>
    <w:rsid w:val="00140F1D"/>
    <w:rsid w:val="00143B03"/>
    <w:rsid w:val="001506FE"/>
    <w:rsid w:val="00152001"/>
    <w:rsid w:val="00153D39"/>
    <w:rsid w:val="00161DA2"/>
    <w:rsid w:val="00180400"/>
    <w:rsid w:val="001E480E"/>
    <w:rsid w:val="001E5C9A"/>
    <w:rsid w:val="001F0CD8"/>
    <w:rsid w:val="002118D0"/>
    <w:rsid w:val="0022265B"/>
    <w:rsid w:val="002228DC"/>
    <w:rsid w:val="00243C68"/>
    <w:rsid w:val="00250B71"/>
    <w:rsid w:val="00275075"/>
    <w:rsid w:val="002A6DF8"/>
    <w:rsid w:val="002B493A"/>
    <w:rsid w:val="002C0E81"/>
    <w:rsid w:val="002D087D"/>
    <w:rsid w:val="002D7A50"/>
    <w:rsid w:val="00310897"/>
    <w:rsid w:val="0031116B"/>
    <w:rsid w:val="00315642"/>
    <w:rsid w:val="003208B8"/>
    <w:rsid w:val="003311BF"/>
    <w:rsid w:val="00346D00"/>
    <w:rsid w:val="00381625"/>
    <w:rsid w:val="00393E75"/>
    <w:rsid w:val="003953CC"/>
    <w:rsid w:val="003A109B"/>
    <w:rsid w:val="003A7F01"/>
    <w:rsid w:val="003C1AC3"/>
    <w:rsid w:val="003C1ACC"/>
    <w:rsid w:val="003C2875"/>
    <w:rsid w:val="003D5571"/>
    <w:rsid w:val="00401C0F"/>
    <w:rsid w:val="00415259"/>
    <w:rsid w:val="004175BC"/>
    <w:rsid w:val="00424D2B"/>
    <w:rsid w:val="00426569"/>
    <w:rsid w:val="00446CE2"/>
    <w:rsid w:val="004513FB"/>
    <w:rsid w:val="004562DE"/>
    <w:rsid w:val="004A1963"/>
    <w:rsid w:val="004A3482"/>
    <w:rsid w:val="004D1515"/>
    <w:rsid w:val="004E5867"/>
    <w:rsid w:val="005001CC"/>
    <w:rsid w:val="00500D70"/>
    <w:rsid w:val="00513C93"/>
    <w:rsid w:val="00521721"/>
    <w:rsid w:val="00533CFB"/>
    <w:rsid w:val="00550655"/>
    <w:rsid w:val="00562932"/>
    <w:rsid w:val="005638FF"/>
    <w:rsid w:val="005664C9"/>
    <w:rsid w:val="005B522B"/>
    <w:rsid w:val="005B584E"/>
    <w:rsid w:val="005E3A52"/>
    <w:rsid w:val="00612688"/>
    <w:rsid w:val="006220A8"/>
    <w:rsid w:val="00657828"/>
    <w:rsid w:val="00666A1D"/>
    <w:rsid w:val="00680456"/>
    <w:rsid w:val="00681047"/>
    <w:rsid w:val="00693BC6"/>
    <w:rsid w:val="00697E62"/>
    <w:rsid w:val="006C771D"/>
    <w:rsid w:val="007218D3"/>
    <w:rsid w:val="007250E4"/>
    <w:rsid w:val="007341D9"/>
    <w:rsid w:val="00737031"/>
    <w:rsid w:val="00757FBD"/>
    <w:rsid w:val="007733CE"/>
    <w:rsid w:val="00777531"/>
    <w:rsid w:val="007873A3"/>
    <w:rsid w:val="007A2CC0"/>
    <w:rsid w:val="007A5FE8"/>
    <w:rsid w:val="007A7C27"/>
    <w:rsid w:val="007C49EF"/>
    <w:rsid w:val="007C4B8B"/>
    <w:rsid w:val="007D0737"/>
    <w:rsid w:val="007D3653"/>
    <w:rsid w:val="007E621F"/>
    <w:rsid w:val="007F5911"/>
    <w:rsid w:val="00802556"/>
    <w:rsid w:val="008324BB"/>
    <w:rsid w:val="008335A0"/>
    <w:rsid w:val="00850867"/>
    <w:rsid w:val="00864C8B"/>
    <w:rsid w:val="008855A2"/>
    <w:rsid w:val="008B0DBC"/>
    <w:rsid w:val="008E2E2F"/>
    <w:rsid w:val="008E435E"/>
    <w:rsid w:val="008E7587"/>
    <w:rsid w:val="008F508F"/>
    <w:rsid w:val="00930A2B"/>
    <w:rsid w:val="00941CCF"/>
    <w:rsid w:val="00947CB8"/>
    <w:rsid w:val="00961941"/>
    <w:rsid w:val="00994284"/>
    <w:rsid w:val="00995822"/>
    <w:rsid w:val="009A681C"/>
    <w:rsid w:val="009C3AC7"/>
    <w:rsid w:val="009D6C44"/>
    <w:rsid w:val="009E53B1"/>
    <w:rsid w:val="00A2554E"/>
    <w:rsid w:val="00A33401"/>
    <w:rsid w:val="00A45803"/>
    <w:rsid w:val="00A5242B"/>
    <w:rsid w:val="00A547F3"/>
    <w:rsid w:val="00A63BD3"/>
    <w:rsid w:val="00A87C70"/>
    <w:rsid w:val="00A949E7"/>
    <w:rsid w:val="00AB4739"/>
    <w:rsid w:val="00AD4F3E"/>
    <w:rsid w:val="00B1376E"/>
    <w:rsid w:val="00B2772B"/>
    <w:rsid w:val="00B34E74"/>
    <w:rsid w:val="00B4505F"/>
    <w:rsid w:val="00B535B5"/>
    <w:rsid w:val="00C07087"/>
    <w:rsid w:val="00C5650A"/>
    <w:rsid w:val="00C805AD"/>
    <w:rsid w:val="00C91A48"/>
    <w:rsid w:val="00CA02C3"/>
    <w:rsid w:val="00CA7FFD"/>
    <w:rsid w:val="00CD7CA2"/>
    <w:rsid w:val="00D00B9A"/>
    <w:rsid w:val="00D67157"/>
    <w:rsid w:val="00DB4CA4"/>
    <w:rsid w:val="00DB585F"/>
    <w:rsid w:val="00DE28C3"/>
    <w:rsid w:val="00DE7C60"/>
    <w:rsid w:val="00E0250B"/>
    <w:rsid w:val="00E13561"/>
    <w:rsid w:val="00E5163C"/>
    <w:rsid w:val="00E64A8B"/>
    <w:rsid w:val="00E73CE1"/>
    <w:rsid w:val="00EB32C9"/>
    <w:rsid w:val="00ED2CFA"/>
    <w:rsid w:val="00EE46FF"/>
    <w:rsid w:val="00EE592E"/>
    <w:rsid w:val="00EE697A"/>
    <w:rsid w:val="00EF1D3E"/>
    <w:rsid w:val="00F16843"/>
    <w:rsid w:val="00F16E52"/>
    <w:rsid w:val="00F354BD"/>
    <w:rsid w:val="00F4205D"/>
    <w:rsid w:val="00F87364"/>
    <w:rsid w:val="00F95879"/>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D2695F69-F65A-4967-AB8C-6887B726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4E"/>
  </w:style>
  <w:style w:type="paragraph" w:styleId="Heading1">
    <w:name w:val="heading 1"/>
    <w:basedOn w:val="Normal"/>
    <w:next w:val="Normal"/>
    <w:link w:val="Heading1Char"/>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37"/>
    <w:rPr>
      <w:rFonts w:eastAsiaTheme="majorEastAsia" w:cstheme="majorBidi"/>
      <w:color w:val="272727" w:themeColor="text1" w:themeTint="D8"/>
    </w:rPr>
  </w:style>
  <w:style w:type="paragraph" w:styleId="Title">
    <w:name w:val="Title"/>
    <w:basedOn w:val="Normal"/>
    <w:next w:val="Normal"/>
    <w:link w:val="TitleChar"/>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3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37"/>
    <w:rPr>
      <w:i/>
      <w:iCs/>
      <w:color w:val="404040" w:themeColor="text1" w:themeTint="BF"/>
    </w:rPr>
  </w:style>
  <w:style w:type="paragraph" w:styleId="ListParagraph">
    <w:name w:val="List Paragraph"/>
    <w:basedOn w:val="Normal"/>
    <w:uiPriority w:val="34"/>
    <w:qFormat/>
    <w:rsid w:val="007D0737"/>
    <w:pPr>
      <w:ind w:left="720"/>
      <w:contextualSpacing/>
    </w:pPr>
  </w:style>
  <w:style w:type="character" w:styleId="IntenseEmphasis">
    <w:name w:val="Intense Emphasis"/>
    <w:basedOn w:val="DefaultParagraphFont"/>
    <w:uiPriority w:val="21"/>
    <w:qFormat/>
    <w:rsid w:val="007D0737"/>
    <w:rPr>
      <w:i/>
      <w:iCs/>
      <w:color w:val="0F4761" w:themeColor="accent1" w:themeShade="BF"/>
    </w:rPr>
  </w:style>
  <w:style w:type="paragraph" w:styleId="IntenseQuote">
    <w:name w:val="Intense Quote"/>
    <w:basedOn w:val="Normal"/>
    <w:next w:val="Normal"/>
    <w:link w:val="IntenseQuoteChar"/>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37"/>
    <w:rPr>
      <w:i/>
      <w:iCs/>
      <w:color w:val="0F4761" w:themeColor="accent1" w:themeShade="BF"/>
    </w:rPr>
  </w:style>
  <w:style w:type="character" w:styleId="IntenseReference">
    <w:name w:val="Intense Reference"/>
    <w:basedOn w:val="DefaultParagraphFont"/>
    <w:uiPriority w:val="32"/>
    <w:qFormat/>
    <w:rsid w:val="007D0737"/>
    <w:rPr>
      <w:b/>
      <w:bCs/>
      <w:smallCaps/>
      <w:color w:val="0F4761" w:themeColor="accent1" w:themeShade="BF"/>
      <w:spacing w:val="5"/>
    </w:rPr>
  </w:style>
  <w:style w:type="paragraph" w:styleId="NormalWeb">
    <w:name w:val="Normal (Web)"/>
    <w:basedOn w:val="Normal"/>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4205D"/>
    <w:rPr>
      <w:color w:val="467886" w:themeColor="hyperlink"/>
      <w:u w:val="single"/>
    </w:rPr>
  </w:style>
  <w:style w:type="character" w:styleId="UnresolvedMention">
    <w:name w:val="Unresolved Mention"/>
    <w:basedOn w:val="DefaultParagraphFont"/>
    <w:uiPriority w:val="99"/>
    <w:semiHidden/>
    <w:unhideWhenUsed/>
    <w:rsid w:val="00F4205D"/>
    <w:rPr>
      <w:color w:val="605E5C"/>
      <w:shd w:val="clear" w:color="auto" w:fill="E1DFDD"/>
    </w:rPr>
  </w:style>
  <w:style w:type="paragraph" w:customStyle="1" w:styleId="P1">
    <w:name w:val="P1"/>
    <w:basedOn w:val="Normal"/>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Normal"/>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PlaceholderText">
    <w:name w:val="Placeholder Text"/>
    <w:basedOn w:val="DefaultParagraphFont"/>
    <w:uiPriority w:val="99"/>
    <w:semiHidden/>
    <w:rsid w:val="007C49EF"/>
    <w:rPr>
      <w:color w:val="666666"/>
    </w:rPr>
  </w:style>
  <w:style w:type="table" w:styleId="TableGrid">
    <w:name w:val="Table Grid"/>
    <w:basedOn w:val="TableNormal"/>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hyperlink" Target="https://10.11648/j.cbb.20241201.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doi.org/10.1101/2024.06.15.599168" TargetMode="External"/><Relationship Id="rId2" Type="http://schemas.openxmlformats.org/officeDocument/2006/relationships/numbering" Target="numbering.xml"/><Relationship Id="rId16" Type="http://schemas.openxmlformats.org/officeDocument/2006/relationships/hyperlink" Target="https://10.3389/fcvm.2023.11378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journal/physica-d-nonlinear-phenomena" TargetMode="External"/><Relationship Id="rId10" Type="http://schemas.openxmlformats.org/officeDocument/2006/relationships/image" Target="media/image3.png"/><Relationship Id="rId19" Type="http://schemas.openxmlformats.org/officeDocument/2006/relationships/hyperlink" Target="https://doi.org/10.13026/2hsy-t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1</Pages>
  <Words>3955</Words>
  <Characters>22549</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3</cp:revision>
  <dcterms:created xsi:type="dcterms:W3CDTF">2025-02-08T22:06:00Z</dcterms:created>
  <dcterms:modified xsi:type="dcterms:W3CDTF">2025-09-06T10:41:00Z</dcterms:modified>
</cp:coreProperties>
</file>