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center"/>
      </w:pPr>
      <w:r>
        <w:rPr>
          <w:b/>
          <w:sz w:val="26"/>
        </w:rPr>
        <w:t>Міністерство освіти і науки України</w:t>
        <w:br/>
        <w:t>Чернівецький національний університет імені Юрія Федьковича</w:t>
        <w:br/>
        <w:t>Навчально-науковий інститут фізико-технічних та комп'ютерних наук</w:t>
        <w:br/>
        <w:t>Кафедра програмного забезпечення комп'ютерних систем</w:t>
      </w:r>
    </w:p>
    <w:p>
      <w:pPr>
        <w:spacing w:after="800"/>
      </w:pPr>
    </w:p>
    <w:p>
      <w:pPr>
        <w:jc w:val="center"/>
      </w:pPr>
      <w:r>
        <w:rPr>
          <w:b/>
          <w:sz w:val="36"/>
        </w:rPr>
        <w:t>ЗВІТ</w:t>
        <w:br/>
      </w:r>
      <w:r>
        <w:rPr>
          <w:b/>
          <w:sz w:val="28"/>
        </w:rPr>
        <w:t>про виконання лабораторної роботи № 2</w:t>
        <w:br/>
        <w:t>з курсу «Безпека програм та даних»</w:t>
        <w:br/>
      </w:r>
      <w:r>
        <w:rPr>
          <w:b/>
          <w:sz w:val="28"/>
        </w:rPr>
        <w:t>Тема: Захист реєстру операційної системи Windows 11</w:t>
      </w:r>
    </w:p>
    <w:p>
      <w:pPr>
        <w:spacing w:after="1800"/>
      </w:pPr>
    </w:p>
    <w:p>
      <w:pPr>
        <w:spacing w:line="276" w:lineRule="auto"/>
        <w:jc w:val="right"/>
      </w:pPr>
      <w:r>
        <w:rPr>
          <w:sz w:val="26"/>
        </w:rPr>
        <w:t>Виконав:</w:t>
        <w:br/>
        <w:t>студент 4 курсу, групи 441</w:t>
        <w:br/>
        <w:t>Лазарєв В. В.</w:t>
        <w:br/>
        <w:br/>
        <w:t>Перевірив:</w:t>
        <w:br/>
        <w:t>д.ф.-м.н., проф. Остапов С. Е.</w:t>
      </w:r>
    </w:p>
    <w:p>
      <w:pPr>
        <w:spacing w:after="2000"/>
      </w:pPr>
    </w:p>
    <w:p>
      <w:pPr>
        <w:jc w:val="center"/>
      </w:pPr>
      <w:r>
        <w:rPr>
          <w:b/>
          <w:sz w:val="24"/>
        </w:rPr>
        <w:t>Чернівці — 2026</w:t>
      </w:r>
    </w:p>
    <w:p>
      <w:r>
        <w:br w:type="page"/>
      </w:r>
    </w:p>
    <w:p>
      <w:pPr>
        <w:keepNext/>
        <w:spacing w:before="280" w:after="120"/>
      </w:pPr>
      <w:r>
        <w:rPr>
          <w:b/>
          <w:color w:val="003366"/>
          <w:sz w:val="30"/>
        </w:rPr>
        <w:t>Мета роботи</w:t>
      </w:r>
    </w:p>
    <w:p>
      <w:pPr>
        <w:spacing w:line="276" w:lineRule="auto" w:after="120"/>
        <w:jc w:val="both"/>
      </w:pPr>
      <w:r>
        <w:t>Ознайомитися з архітектурою та механізмами захисту реєстру операційної системи Windows 11. На практиці опанувати налаштування системного аудиту для критичних вуликів SAM та SECURITY, перевірку прав доступу до системного каталогу конфігурації Windows, конфігурування захисту віртуальної пам'яті при вимкненні ОС та блокування запису аварійних дампів для унеможливлення витоку автентифікаційних даних.</w:t>
      </w:r>
    </w:p>
    <w:p>
      <w:pPr>
        <w:keepNext/>
        <w:spacing w:before="280" w:after="120"/>
      </w:pPr>
      <w:r>
        <w:rPr>
          <w:b/>
          <w:color w:val="003366"/>
          <w:sz w:val="30"/>
        </w:rPr>
        <w:t>Хід роботи</w:t>
      </w:r>
    </w:p>
    <w:p>
      <w:pPr>
        <w:keepNext/>
        <w:spacing w:before="200" w:after="80"/>
      </w:pPr>
      <w:r>
        <w:rPr>
          <w:b/>
          <w:sz w:val="27"/>
        </w:rPr>
        <w:t>1. Налаштування системної політики аудиту в secpol.msc</w:t>
      </w:r>
    </w:p>
    <w:p>
      <w:pPr>
        <w:spacing w:line="276" w:lineRule="auto" w:after="120"/>
        <w:jc w:val="both"/>
      </w:pPr>
      <w:r>
        <w:t>В оснастці керування локальними політиками безпеки (secpol.msc) у розділі «Локальні політики» -&gt; «Політика аудиту» активовано відстеження критичних подій:</w:t>
      </w:r>
    </w:p>
    <w:p>
      <w:pPr>
        <w:pStyle w:val="ListBullet"/>
        <w:spacing w:line="276" w:lineRule="auto" w:after="60"/>
        <w:jc w:val="both"/>
      </w:pPr>
      <w:r>
        <w:rPr>
          <w:b/>
        </w:rPr>
        <w:t xml:space="preserve">Audit logon events (Аудит входу в систему): </w:t>
      </w:r>
      <w:r>
        <w:t>увімкнено фіксацію успішних (Success) та невдалих (Failure) спроб автентифікації.</w:t>
      </w:r>
    </w:p>
    <w:p>
      <w:pPr>
        <w:pStyle w:val="ListBullet"/>
        <w:spacing w:line="276" w:lineRule="auto" w:after="60"/>
        <w:jc w:val="both"/>
      </w:pPr>
      <w:r>
        <w:rPr>
          <w:b/>
        </w:rPr>
        <w:t xml:space="preserve">Audit object access (Аудит доступу до об'єктів): </w:t>
      </w:r>
      <w:r>
        <w:t>увімкнено відстеження спроб звернення до захищених системних дескрипторів та ключів реєстру (Success, Failure).</w:t>
      </w:r>
    </w:p>
    <w:p>
      <w:pPr>
        <w:spacing w:line="276" w:lineRule="auto" w:after="120"/>
        <w:jc w:val="both"/>
      </w:pPr>
      <w:r>
        <w:t>[Тут вставте скріншот вікна secpol.msc]</w:t>
      </w:r>
    </w:p>
    <w:p>
      <w:pPr>
        <w:keepNext/>
        <w:spacing w:before="200" w:after="80"/>
      </w:pPr>
      <w:r>
        <w:rPr>
          <w:b/>
          <w:sz w:val="27"/>
        </w:rPr>
        <w:t>2. Налаштування списків аудиту (SACL) для вуликів SAM та SECURITY</w:t>
      </w:r>
    </w:p>
    <w:p>
      <w:pPr>
        <w:spacing w:line="276" w:lineRule="auto" w:after="120"/>
        <w:jc w:val="both"/>
      </w:pPr>
      <w:r>
        <w:t>За допомогою редактора реєстру (regedit.exe) було налаштовано аудит звернень до гілок HKEY_LOCAL_MACHINE\SAM та HKEY_LOCAL_MACHINE\SECURITY:</w:t>
      </w:r>
    </w:p>
    <w:p>
      <w:pPr>
        <w:pStyle w:val="ListBullet"/>
        <w:spacing w:line="276" w:lineRule="auto" w:after="60"/>
        <w:jc w:val="both"/>
      </w:pPr>
      <w:r>
        <w:rPr>
          <w:b/>
        </w:rPr>
        <w:t xml:space="preserve">Вулик SAM: </w:t>
      </w:r>
      <w:r>
        <w:t>у розширених параметрах безпеки на вкладці «Аудит» додано правило для групи Administrators (Тип: Усі, Застосовно до: Цей розділ і підрозділи, Дозволи: Повний доступ).</w:t>
      </w:r>
    </w:p>
    <w:p>
      <w:pPr>
        <w:pStyle w:val="ListBullet"/>
        <w:spacing w:line="276" w:lineRule="auto" w:after="60"/>
        <w:jc w:val="both"/>
      </w:pPr>
      <w:r>
        <w:rPr>
          <w:b/>
        </w:rPr>
        <w:t xml:space="preserve">Вулик SECURITY: </w:t>
      </w:r>
      <w:r>
        <w:t>аналогічно сконфігуровано фіксацію всіх звернень для Administrators та SYSTEM.</w:t>
      </w:r>
    </w:p>
    <w:p>
      <w:pPr>
        <w:keepNext/>
        <w:spacing w:before="200" w:after="80"/>
      </w:pPr>
      <w:r>
        <w:rPr>
          <w:b/>
          <w:sz w:val="27"/>
        </w:rPr>
        <w:t>3. Аудит та верифікація доступу до каталогу System32\config</w:t>
      </w:r>
    </w:p>
    <w:p>
      <w:pPr>
        <w:spacing w:line="276" w:lineRule="auto" w:after="120"/>
        <w:jc w:val="both"/>
      </w:pPr>
      <w:r>
        <w:t>У Провіднику відкрито властивості папки C:\Windows\System32\config (вкладка «Безпека» -&gt; «Додатково»). Перевірено відсутність небажаних сутностей:</w:t>
      </w:r>
    </w:p>
    <w:p>
      <w:pPr>
        <w:pStyle w:val="ListBullet"/>
        <w:spacing w:line="276" w:lineRule="auto" w:after="60"/>
        <w:jc w:val="both"/>
      </w:pPr>
      <w:r>
        <w:rPr>
          <w:b/>
        </w:rPr>
        <w:t xml:space="preserve">Результат перевірки: </w:t>
      </w:r>
      <w:r>
        <w:t>звичайні користувачі (Users) та група Everyone позбавлені будь-якого доступу до файлів конфігурації; повний контроль надано виключно системним сутностям SYSTEM, TrustedInstaller, Administrators та власнику.</w:t>
      </w:r>
    </w:p>
    <w:p>
      <w:pPr>
        <w:spacing w:line="276" w:lineRule="auto" w:after="120"/>
        <w:jc w:val="both"/>
      </w:pPr>
      <w:r>
        <w:t>[Тут вставте скріншот дозволів папки System32\config]</w:t>
      </w:r>
    </w:p>
    <w:p>
      <w:pPr>
        <w:keepNext/>
        <w:spacing w:before="200" w:after="80"/>
      </w:pPr>
      <w:r>
        <w:rPr>
          <w:b/>
          <w:sz w:val="27"/>
        </w:rPr>
        <w:t>4. Захист віртуальної пам'яті та вимкнення створення аварійних дампів</w:t>
      </w:r>
    </w:p>
    <w:p>
      <w:pPr>
        <w:spacing w:line="276" w:lineRule="auto" w:after="120"/>
        <w:jc w:val="both"/>
      </w:pPr>
      <w:r>
        <w:t>З метою унеможливлення збереження залишкових хешів паролів та облікових даних у відкритому вигляді на накопичувачі реалізовано наступні захисні заходи:</w:t>
      </w:r>
    </w:p>
    <w:p>
      <w:pPr>
        <w:pStyle w:val="ListBullet"/>
        <w:spacing w:line="276" w:lineRule="auto" w:after="60"/>
        <w:jc w:val="both"/>
      </w:pPr>
      <w:r>
        <w:rPr>
          <w:b/>
        </w:rPr>
        <w:t xml:space="preserve">ClearPageFileAtShutdown: </w:t>
      </w:r>
      <w:r>
        <w:t>у гілці HKLM\SYSTEM\CurrentControlSet\Control\Session Manager\Memory Management встановлено прапорець ClearPageFileAtShutdown = 1 для обов'язкового перезапису сторінкового файлу нулями під час зупинки ОС.</w:t>
      </w:r>
    </w:p>
    <w:p>
      <w:pPr>
        <w:pStyle w:val="ListBullet"/>
        <w:spacing w:line="276" w:lineRule="auto" w:after="60"/>
        <w:jc w:val="both"/>
      </w:pPr>
      <w:r>
        <w:rPr>
          <w:b/>
        </w:rPr>
        <w:t xml:space="preserve">Вимкнення дампів пам'яті: </w:t>
      </w:r>
      <w:r>
        <w:t>через «Додаткові параметри системи» в розділі «Запуск і відновлення» тип налагоджувальної інформації змінено на «(немає)», що блокує формування файлів memory.dmp.</w:t>
      </w:r>
    </w:p>
    <w:p>
      <w:pPr>
        <w:keepNext/>
        <w:spacing w:before="280" w:after="120"/>
      </w:pPr>
      <w:r>
        <w:rPr>
          <w:b/>
          <w:color w:val="003366"/>
          <w:sz w:val="30"/>
        </w:rPr>
        <w:t>Протокол зміни параметрів безпеки</w:t>
      </w:r>
    </w:p>
    <w:tbl>
      <w:tblPr>
        <w:tblW w:type="auto" w:w="0"/>
        <w:jc w:val="center"/>
        <w:tblLook w:firstColumn="1" w:firstRow="1" w:lastColumn="0" w:lastRow="0" w:noHBand="0" w:noVBand="1" w:val="04A0"/>
      </w:tblPr>
      <w:tblGrid>
        <w:gridCol w:w="2423"/>
        <w:gridCol w:w="2423"/>
        <w:gridCol w:w="2423"/>
        <w:gridCol w:w="2423"/>
      </w:tblGrid>
      <w:tr>
        <w:tc>
          <w:tcPr>
            <w:tcW w:type="dxa" w:w="2592"/>
            <w:shd w:fill="EAECEE"/>
            <w:vAlign w:val="center"/>
            <w:tcBorders>
              <w:top sz="4" val="single" color="D0D3D4"/>
              <w:left sz="4" val="single" color="D0D3D4"/>
              <w:bottom sz="4" val="single" color="D0D3D4"/>
              <w:right sz="4" val="single" color="D0D3D4"/>
            </w:tcBorders>
          </w:tcPr>
          <w:p>
            <w:pPr>
              <w:jc w:val="center"/>
            </w:pPr>
            <w:r>
              <w:rPr>
                <w:b/>
                <w:sz w:val="22"/>
              </w:rPr>
              <w:t>Параметр / Об'єкт</w:t>
            </w:r>
          </w:p>
        </w:tc>
        <w:tc>
          <w:tcPr>
            <w:tcW w:type="dxa" w:w="2160"/>
            <w:shd w:fill="EAECEE"/>
            <w:vAlign w:val="center"/>
            <w:tcBorders>
              <w:top sz="4" val="single" color="D0D3D4"/>
              <w:left sz="4" val="single" color="D0D3D4"/>
              <w:bottom sz="4" val="single" color="D0D3D4"/>
              <w:right sz="4" val="single" color="D0D3D4"/>
            </w:tcBorders>
          </w:tcPr>
          <w:p>
            <w:pPr>
              <w:jc w:val="center"/>
            </w:pPr>
            <w:r>
              <w:rPr>
                <w:b/>
                <w:sz w:val="22"/>
              </w:rPr>
              <w:t>Значення до налаштування</w:t>
            </w:r>
          </w:p>
        </w:tc>
        <w:tc>
          <w:tcPr>
            <w:tcW w:type="dxa" w:w="2160"/>
            <w:shd w:fill="EAECEE"/>
            <w:vAlign w:val="center"/>
            <w:tcBorders>
              <w:top sz="4" val="single" color="D0D3D4"/>
              <w:left sz="4" val="single" color="D0D3D4"/>
              <w:bottom sz="4" val="single" color="D0D3D4"/>
              <w:right sz="4" val="single" color="D0D3D4"/>
            </w:tcBorders>
          </w:tcPr>
          <w:p>
            <w:pPr>
              <w:jc w:val="center"/>
            </w:pPr>
            <w:r>
              <w:rPr>
                <w:b/>
                <w:sz w:val="22"/>
              </w:rPr>
              <w:t>Встановлене значення</w:t>
            </w:r>
          </w:p>
        </w:tc>
        <w:tc>
          <w:tcPr>
            <w:tcW w:type="dxa" w:w="3168"/>
            <w:shd w:fill="EAECEE"/>
            <w:vAlign w:val="center"/>
            <w:tcBorders>
              <w:top sz="4" val="single" color="D0D3D4"/>
              <w:left sz="4" val="single" color="D0D3D4"/>
              <w:bottom sz="4" val="single" color="D0D3D4"/>
              <w:right sz="4" val="single" color="D0D3D4"/>
            </w:tcBorders>
          </w:tcPr>
          <w:p>
            <w:pPr>
              <w:jc w:val="center"/>
            </w:pPr>
            <w:r>
              <w:rPr>
                <w:b/>
                <w:sz w:val="22"/>
              </w:rPr>
              <w:t>Цільове призначення</w:t>
            </w:r>
          </w:p>
        </w:tc>
      </w:tr>
      <w:tr>
        <w:tc>
          <w:tcPr>
            <w:tcW w:type="dxa" w:w="2592"/>
            <w:vAlign w:val="center"/>
            <w:tcBorders>
              <w:top sz="4" val="single" color="D0D3D4"/>
              <w:left sz="4" val="single" color="D0D3D4"/>
              <w:bottom sz="4" val="single" color="D0D3D4"/>
              <w:right sz="4" val="single" color="D0D3D4"/>
            </w:tcBorders>
          </w:tcPr>
          <w:p>
            <w:pPr>
              <w:jc w:val="left"/>
            </w:pPr>
            <w:r>
              <w:rPr>
                <w:sz w:val="21"/>
              </w:rPr>
              <w:t>Audit logon events</w:t>
            </w:r>
          </w:p>
        </w:tc>
        <w:tc>
          <w:tcPr>
            <w:tcW w:type="dxa" w:w="2160"/>
            <w:vAlign w:val="center"/>
            <w:tcBorders>
              <w:top sz="4" val="single" color="D0D3D4"/>
              <w:left sz="4" val="single" color="D0D3D4"/>
              <w:bottom sz="4" val="single" color="D0D3D4"/>
              <w:right sz="4" val="single" color="D0D3D4"/>
            </w:tcBorders>
          </w:tcPr>
          <w:p>
            <w:pPr>
              <w:jc w:val="left"/>
            </w:pPr>
            <w:r>
              <w:rPr>
                <w:sz w:val="21"/>
              </w:rPr>
              <w:t>Не визначено / Відімкнено</w:t>
            </w:r>
          </w:p>
        </w:tc>
        <w:tc>
          <w:tcPr>
            <w:tcW w:type="dxa" w:w="2160"/>
            <w:vAlign w:val="center"/>
            <w:tcBorders>
              <w:top sz="4" val="single" color="D0D3D4"/>
              <w:left sz="4" val="single" color="D0D3D4"/>
              <w:bottom sz="4" val="single" color="D0D3D4"/>
              <w:right sz="4" val="single" color="D0D3D4"/>
            </w:tcBorders>
          </w:tcPr>
          <w:p>
            <w:pPr>
              <w:jc w:val="left"/>
            </w:pPr>
            <w:r>
              <w:rPr>
                <w:sz w:val="21"/>
              </w:rPr>
              <w:t>Success, Failure</w:t>
            </w:r>
          </w:p>
        </w:tc>
        <w:tc>
          <w:tcPr>
            <w:tcW w:type="dxa" w:w="3168"/>
            <w:vAlign w:val="center"/>
            <w:tcBorders>
              <w:top sz="4" val="single" color="D0D3D4"/>
              <w:left sz="4" val="single" color="D0D3D4"/>
              <w:bottom sz="4" val="single" color="D0D3D4"/>
              <w:right sz="4" val="single" color="D0D3D4"/>
            </w:tcBorders>
          </w:tcPr>
          <w:p>
            <w:pPr>
              <w:jc w:val="left"/>
            </w:pPr>
            <w:r>
              <w:rPr>
                <w:sz w:val="21"/>
              </w:rPr>
              <w:t>Фіксація всіх спроб входу в систему</w:t>
            </w:r>
          </w:p>
        </w:tc>
      </w:tr>
      <w:tr>
        <w:tc>
          <w:tcPr>
            <w:tcW w:type="dxa" w:w="2592"/>
            <w:vAlign w:val="center"/>
            <w:tcBorders>
              <w:top sz="4" val="single" color="D0D3D4"/>
              <w:left sz="4" val="single" color="D0D3D4"/>
              <w:bottom sz="4" val="single" color="D0D3D4"/>
              <w:right sz="4" val="single" color="D0D3D4"/>
            </w:tcBorders>
          </w:tcPr>
          <w:p>
            <w:pPr>
              <w:jc w:val="left"/>
            </w:pPr>
            <w:r>
              <w:rPr>
                <w:sz w:val="21"/>
              </w:rPr>
              <w:t>Audit object access</w:t>
            </w:r>
          </w:p>
        </w:tc>
        <w:tc>
          <w:tcPr>
            <w:tcW w:type="dxa" w:w="2160"/>
            <w:vAlign w:val="center"/>
            <w:tcBorders>
              <w:top sz="4" val="single" color="D0D3D4"/>
              <w:left sz="4" val="single" color="D0D3D4"/>
              <w:bottom sz="4" val="single" color="D0D3D4"/>
              <w:right sz="4" val="single" color="D0D3D4"/>
            </w:tcBorders>
          </w:tcPr>
          <w:p>
            <w:pPr>
              <w:jc w:val="left"/>
            </w:pPr>
            <w:r>
              <w:rPr>
                <w:sz w:val="21"/>
              </w:rPr>
              <w:t>Не визначено / Відімкнено</w:t>
            </w:r>
          </w:p>
        </w:tc>
        <w:tc>
          <w:tcPr>
            <w:tcW w:type="dxa" w:w="2160"/>
            <w:vAlign w:val="center"/>
            <w:tcBorders>
              <w:top sz="4" val="single" color="D0D3D4"/>
              <w:left sz="4" val="single" color="D0D3D4"/>
              <w:bottom sz="4" val="single" color="D0D3D4"/>
              <w:right sz="4" val="single" color="D0D3D4"/>
            </w:tcBorders>
          </w:tcPr>
          <w:p>
            <w:pPr>
              <w:jc w:val="left"/>
            </w:pPr>
            <w:r>
              <w:rPr>
                <w:sz w:val="21"/>
              </w:rPr>
              <w:t>Success, Failure</w:t>
            </w:r>
          </w:p>
        </w:tc>
        <w:tc>
          <w:tcPr>
            <w:tcW w:type="dxa" w:w="3168"/>
            <w:vAlign w:val="center"/>
            <w:tcBorders>
              <w:top sz="4" val="single" color="D0D3D4"/>
              <w:left sz="4" val="single" color="D0D3D4"/>
              <w:bottom sz="4" val="single" color="D0D3D4"/>
              <w:right sz="4" val="single" color="D0D3D4"/>
            </w:tcBorders>
          </w:tcPr>
          <w:p>
            <w:pPr>
              <w:jc w:val="left"/>
            </w:pPr>
            <w:r>
              <w:rPr>
                <w:sz w:val="21"/>
              </w:rPr>
              <w:t>Активація підсистеми аудиту реєстру та файлів</w:t>
            </w:r>
          </w:p>
        </w:tc>
      </w:tr>
      <w:tr>
        <w:tc>
          <w:tcPr>
            <w:tcW w:type="dxa" w:w="2592"/>
            <w:vAlign w:val="center"/>
            <w:tcBorders>
              <w:top sz="4" val="single" color="D0D3D4"/>
              <w:left sz="4" val="single" color="D0D3D4"/>
              <w:bottom sz="4" val="single" color="D0D3D4"/>
              <w:right sz="4" val="single" color="D0D3D4"/>
            </w:tcBorders>
          </w:tcPr>
          <w:p>
            <w:pPr>
              <w:jc w:val="left"/>
            </w:pPr>
            <w:r>
              <w:rPr>
                <w:sz w:val="21"/>
              </w:rPr>
              <w:t>SACL вулика SAM</w:t>
            </w:r>
          </w:p>
        </w:tc>
        <w:tc>
          <w:tcPr>
            <w:tcW w:type="dxa" w:w="2160"/>
            <w:vAlign w:val="center"/>
            <w:tcBorders>
              <w:top sz="4" val="single" color="D0D3D4"/>
              <w:left sz="4" val="single" color="D0D3D4"/>
              <w:bottom sz="4" val="single" color="D0D3D4"/>
              <w:right sz="4" val="single" color="D0D3D4"/>
            </w:tcBorders>
          </w:tcPr>
          <w:p>
            <w:pPr>
              <w:jc w:val="left"/>
            </w:pPr>
            <w:r>
              <w:rPr>
                <w:sz w:val="21"/>
              </w:rPr>
              <w:t>Записи аудиту відсутні</w:t>
            </w:r>
          </w:p>
        </w:tc>
        <w:tc>
          <w:tcPr>
            <w:tcW w:type="dxa" w:w="2160"/>
            <w:vAlign w:val="center"/>
            <w:tcBorders>
              <w:top sz="4" val="single" color="D0D3D4"/>
              <w:left sz="4" val="single" color="D0D3D4"/>
              <w:bottom sz="4" val="single" color="D0D3D4"/>
              <w:right sz="4" val="single" color="D0D3D4"/>
            </w:tcBorders>
          </w:tcPr>
          <w:p>
            <w:pPr>
              <w:jc w:val="left"/>
            </w:pPr>
            <w:r>
              <w:rPr>
                <w:sz w:val="21"/>
              </w:rPr>
              <w:t>All / Full Control (Administrators)</w:t>
            </w:r>
          </w:p>
        </w:tc>
        <w:tc>
          <w:tcPr>
            <w:tcW w:type="dxa" w:w="3168"/>
            <w:vAlign w:val="center"/>
            <w:tcBorders>
              <w:top sz="4" val="single" color="D0D3D4"/>
              <w:left sz="4" val="single" color="D0D3D4"/>
              <w:bottom sz="4" val="single" color="D0D3D4"/>
              <w:right sz="4" val="single" color="D0D3D4"/>
            </w:tcBorders>
          </w:tcPr>
          <w:p>
            <w:pPr>
              <w:jc w:val="left"/>
            </w:pPr>
            <w:r>
              <w:rPr>
                <w:sz w:val="21"/>
              </w:rPr>
              <w:t>Виявлення спроб читання/викрадення бази SAM</w:t>
            </w:r>
          </w:p>
        </w:tc>
      </w:tr>
      <w:tr>
        <w:tc>
          <w:tcPr>
            <w:tcW w:type="dxa" w:w="2592"/>
            <w:vAlign w:val="center"/>
            <w:tcBorders>
              <w:top sz="4" val="single" color="D0D3D4"/>
              <w:left sz="4" val="single" color="D0D3D4"/>
              <w:bottom sz="4" val="single" color="D0D3D4"/>
              <w:right sz="4" val="single" color="D0D3D4"/>
            </w:tcBorders>
          </w:tcPr>
          <w:p>
            <w:pPr>
              <w:jc w:val="left"/>
            </w:pPr>
            <w:r>
              <w:rPr>
                <w:sz w:val="21"/>
              </w:rPr>
              <w:t>ClearPageFileAtShutdown</w:t>
            </w:r>
          </w:p>
        </w:tc>
        <w:tc>
          <w:tcPr>
            <w:tcW w:type="dxa" w:w="2160"/>
            <w:vAlign w:val="center"/>
            <w:tcBorders>
              <w:top sz="4" val="single" color="D0D3D4"/>
              <w:left sz="4" val="single" color="D0D3D4"/>
              <w:bottom sz="4" val="single" color="D0D3D4"/>
              <w:right sz="4" val="single" color="D0D3D4"/>
            </w:tcBorders>
          </w:tcPr>
          <w:p>
            <w:pPr>
              <w:jc w:val="left"/>
            </w:pPr>
            <w:r>
              <w:rPr>
                <w:sz w:val="21"/>
              </w:rPr>
              <w:t>0 (вимкнено)</w:t>
            </w:r>
          </w:p>
        </w:tc>
        <w:tc>
          <w:tcPr>
            <w:tcW w:type="dxa" w:w="2160"/>
            <w:vAlign w:val="center"/>
            <w:tcBorders>
              <w:top sz="4" val="single" color="D0D3D4"/>
              <w:left sz="4" val="single" color="D0D3D4"/>
              <w:bottom sz="4" val="single" color="D0D3D4"/>
              <w:right sz="4" val="single" color="D0D3D4"/>
            </w:tcBorders>
          </w:tcPr>
          <w:p>
            <w:pPr>
              <w:jc w:val="left"/>
            </w:pPr>
            <w:r>
              <w:rPr>
                <w:sz w:val="21"/>
              </w:rPr>
              <w:t>1 (увімкнено)</w:t>
            </w:r>
          </w:p>
        </w:tc>
        <w:tc>
          <w:tcPr>
            <w:tcW w:type="dxa" w:w="3168"/>
            <w:vAlign w:val="center"/>
            <w:tcBorders>
              <w:top sz="4" val="single" color="D0D3D4"/>
              <w:left sz="4" val="single" color="D0D3D4"/>
              <w:bottom sz="4" val="single" color="D0D3D4"/>
              <w:right sz="4" val="single" color="D0D3D4"/>
            </w:tcBorders>
          </w:tcPr>
          <w:p>
            <w:pPr>
              <w:jc w:val="left"/>
            </w:pPr>
            <w:r>
              <w:rPr>
                <w:sz w:val="21"/>
              </w:rPr>
              <w:t>Перезапис pagefile.sys нулями при вимкненні ОС</w:t>
            </w:r>
          </w:p>
        </w:tc>
      </w:tr>
      <w:tr>
        <w:tc>
          <w:tcPr>
            <w:tcW w:type="dxa" w:w="2592"/>
            <w:vAlign w:val="center"/>
            <w:tcBorders>
              <w:top sz="4" val="single" color="D0D3D4"/>
              <w:left sz="4" val="single" color="D0D3D4"/>
              <w:bottom sz="4" val="single" color="D0D3D4"/>
              <w:right sz="4" val="single" color="D0D3D4"/>
            </w:tcBorders>
          </w:tcPr>
          <w:p>
            <w:pPr>
              <w:jc w:val="left"/>
            </w:pPr>
            <w:r>
              <w:rPr>
                <w:sz w:val="21"/>
              </w:rPr>
              <w:t>Запис налагодження пам'яті</w:t>
            </w:r>
          </w:p>
        </w:tc>
        <w:tc>
          <w:tcPr>
            <w:tcW w:type="dxa" w:w="2160"/>
            <w:vAlign w:val="center"/>
            <w:tcBorders>
              <w:top sz="4" val="single" color="D0D3D4"/>
              <w:left sz="4" val="single" color="D0D3D4"/>
              <w:bottom sz="4" val="single" color="D0D3D4"/>
              <w:right sz="4" val="single" color="D0D3D4"/>
            </w:tcBorders>
          </w:tcPr>
          <w:p>
            <w:pPr>
              <w:jc w:val="left"/>
            </w:pPr>
            <w:r>
              <w:rPr>
                <w:sz w:val="21"/>
              </w:rPr>
              <w:t>Малий дамп пам'яті (256 КБ)</w:t>
            </w:r>
          </w:p>
        </w:tc>
        <w:tc>
          <w:tcPr>
            <w:tcW w:type="dxa" w:w="2160"/>
            <w:vAlign w:val="center"/>
            <w:tcBorders>
              <w:top sz="4" val="single" color="D0D3D4"/>
              <w:left sz="4" val="single" color="D0D3D4"/>
              <w:bottom sz="4" val="single" color="D0D3D4"/>
              <w:right sz="4" val="single" color="D0D3D4"/>
            </w:tcBorders>
          </w:tcPr>
          <w:p>
            <w:pPr>
              <w:jc w:val="left"/>
            </w:pPr>
            <w:r>
              <w:rPr>
                <w:sz w:val="21"/>
              </w:rPr>
              <w:t>(немає)</w:t>
            </w:r>
          </w:p>
        </w:tc>
        <w:tc>
          <w:tcPr>
            <w:tcW w:type="dxa" w:w="3168"/>
            <w:vAlign w:val="center"/>
            <w:tcBorders>
              <w:top sz="4" val="single" color="D0D3D4"/>
              <w:left sz="4" val="single" color="D0D3D4"/>
              <w:bottom sz="4" val="single" color="D0D3D4"/>
              <w:right sz="4" val="single" color="D0D3D4"/>
            </w:tcBorders>
          </w:tcPr>
          <w:p>
            <w:pPr>
              <w:jc w:val="left"/>
            </w:pPr>
            <w:r>
              <w:rPr>
                <w:sz w:val="21"/>
              </w:rPr>
              <w:t>Запобігання витоку паролів у файли *.dmp</w:t>
            </w:r>
          </w:p>
        </w:tc>
      </w:tr>
    </w:tbl>
    <w:p>
      <w:pPr>
        <w:keepNext/>
        <w:spacing w:before="280" w:after="120"/>
      </w:pPr>
      <w:r>
        <w:rPr>
          <w:b/>
          <w:color w:val="003366"/>
          <w:sz w:val="30"/>
        </w:rPr>
        <w:t>Висновок</w:t>
      </w:r>
    </w:p>
    <w:p>
      <w:pPr>
        <w:spacing w:line="276" w:lineRule="auto" w:after="120"/>
        <w:jc w:val="both"/>
      </w:pPr>
      <w:r>
        <w:t>У ході виконання лабораторної роботи № 2 було детально досліджено архітектуру захисту реєстру та системних областей пам'яті ОС Windows 11. На практиці налаштовано механізми аудиту доступу до об'єктів (SACL) для критичних вуликів SAM та SECURITY, перевірено списки дозволів на каталог конфігурації System32\config, а також реалізовано комплекс превентивних заходів проти атак викрадення залишкових облікових даних із файлу підкачування та аварійних дампів пам'яті. Результати конфігурування забезпечують захист системних паролів від несанкціонованого отримання.</w:t>
      </w:r>
    </w:p>
    <w:p>
      <w:pPr>
        <w:keepNext/>
        <w:spacing w:before="280" w:after="120"/>
      </w:pPr>
      <w:r>
        <w:rPr>
          <w:b/>
          <w:color w:val="003366"/>
          <w:sz w:val="30"/>
        </w:rPr>
        <w:t>Відповіді на контрольні запитання</w:t>
      </w:r>
    </w:p>
    <w:p>
      <w:pPr>
        <w:keepNext/>
        <w:spacing w:before="160" w:after="40"/>
      </w:pPr>
      <w:r>
        <w:rPr>
          <w:b/>
        </w:rPr>
        <w:t>1. Які функції виконує реєстр Windows?</w:t>
      </w:r>
    </w:p>
    <w:p>
      <w:pPr>
        <w:spacing w:line="276" w:lineRule="auto" w:after="120"/>
        <w:jc w:val="both"/>
      </w:pPr>
      <w:r>
        <w:t>Реєстр Windows є централізованою ієрархічною базою даних ОС, яка зберігає всі конфігураційні відомості про апаратне забезпечення, системні компоненти, служби, драйвери, параметри встановленого ПЗ та персональні налаштування облікових записів користувачів.</w:t>
      </w:r>
    </w:p>
    <w:p>
      <w:pPr>
        <w:keepNext/>
        <w:spacing w:before="160" w:after="40"/>
      </w:pPr>
      <w:r>
        <w:rPr>
          <w:b/>
        </w:rPr>
        <w:t>2. Які функції виконують вулики SAM та Security реєстру?</w:t>
      </w:r>
    </w:p>
    <w:p>
      <w:pPr>
        <w:spacing w:line="276" w:lineRule="auto" w:after="120"/>
        <w:jc w:val="both"/>
      </w:pPr>
      <w:r>
        <w:t>Вулик SAM (Security Accounts Manager) містить облікові записи локальних користувачів та груп разом із незворотними NTLM-хешами їхніх паролів. Вулик Security зберігає глобальні параметри безпеки робочої станції: локальні політики, призначення прав і привілеїв, конфігурацію аудиту та системні секрети підсистеми LSA.</w:t>
      </w:r>
    </w:p>
    <w:p>
      <w:pPr>
        <w:keepNext/>
        <w:spacing w:before="160" w:after="40"/>
      </w:pPr>
      <w:r>
        <w:rPr>
          <w:b/>
        </w:rPr>
        <w:t>3. Які функції аудиту в системі безпеки операційних систем?</w:t>
      </w:r>
    </w:p>
    <w:p>
      <w:pPr>
        <w:spacing w:line="276" w:lineRule="auto" w:after="120"/>
        <w:jc w:val="both"/>
      </w:pPr>
      <w:r>
        <w:t>Аудит забезпечує підзвітність дій у системі: він фіксує події входу в систему, спроби несанкціонованого звернення до захищених файлів або гілок реєстру, зміну прав доступу й аварійні події. Це дає змогу виявляти інциденти безпеки, проводити розслідування та відстежувати підозрілу активність.</w:t>
      </w:r>
    </w:p>
    <w:p>
      <w:pPr>
        <w:keepNext/>
        <w:spacing w:before="160" w:after="40"/>
      </w:pPr>
      <w:r>
        <w:rPr>
          <w:b/>
        </w:rPr>
        <w:t>4. Як можна отримати доступ до реєстру?</w:t>
      </w:r>
    </w:p>
    <w:p>
      <w:pPr>
        <w:spacing w:line="276" w:lineRule="auto" w:after="120"/>
        <w:jc w:val="both"/>
      </w:pPr>
      <w:r>
        <w:t>Інтерактивно через графічні інтерфейси regedit.exe та regedt32.exe; за допомогою консольних утиліт reg.exe та командлетів PowerShell (Get-ItemProperty, Set-ItemProperty); а також програмно через виклики Win32 API (сімейство функцій RegOpenKeyEx, RegQueryValueEx тощо).</w:t>
      </w:r>
    </w:p>
    <w:p>
      <w:pPr>
        <w:keepNext/>
        <w:spacing w:before="160" w:after="40"/>
      </w:pPr>
      <w:r>
        <w:rPr>
          <w:b/>
        </w:rPr>
        <w:t>5. Які основні принципи захисту реєстру Windows?</w:t>
      </w:r>
    </w:p>
    <w:p>
      <w:pPr>
        <w:spacing w:line="276" w:lineRule="auto" w:after="120"/>
        <w:jc w:val="both"/>
      </w:pPr>
      <w:r>
        <w:t>Жорстке розмежування прав за допомогою списків DACL (блокування запису для звичайних користувачів); налаштування системного аудиту SACL на критичні гілки (SAM, SECURITY, Winlogon); обмеження або повне вимкнення служби Remote Registry; забезпечення фізичного захисту файлів вуликів у каталозі System32\Config та контроль процесів з правами SYSTEM.</w:t>
      </w:r>
    </w:p>
    <w:p>
      <w:pPr>
        <w:keepNext/>
        <w:spacing w:before="160" w:after="40"/>
      </w:pPr>
      <w:r>
        <w:rPr>
          <w:b/>
        </w:rPr>
        <w:t>6. Які основні принципи захисту Windows?</w:t>
      </w:r>
    </w:p>
    <w:p>
      <w:pPr>
        <w:spacing w:line="276" w:lineRule="auto" w:after="120"/>
        <w:jc w:val="both"/>
      </w:pPr>
      <w:r>
        <w:t>Ешелонований багаторівневий захист, реалізація принципу найменших привілеїв (робота під стандартним обліковим записом), обмеження фізичного доступу та парольний захист BIOS/UEFI з вимкненням зовнішнього завантаження, строгі політики паролів та блокування облікових записів, ізоляція адресного простору ядра від користувача та шифрування диска (BitLocker).</w:t>
      </w:r>
    </w:p>
    <w:sectPr w:rsidR="00FC693F" w:rsidRPr="0006063C" w:rsidSect="00034616">
      <w:pgSz w:w="12240" w:h="15840"/>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