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Розглянемо застосування повного факторного експерименту для отримання математичного опису технологічного процесу. Середнє значення швидкості різання позначимо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 хід процесу впливають такі фактори, як твердість матеріалу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(HRC); подача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(мм/хв); головний кут в плані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(град).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Числові значення факторів впливу та функції відгуку наведені в табл.1.5.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1.5. Умови проведення експериментів</w:t>
      </w:r>
    </w:p>
    <w:tbl>
      <w:tblPr>
        <w:tblStyle w:val="Table1"/>
        <w:tblW w:w="9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701"/>
        <w:gridCol w:w="1417"/>
        <w:gridCol w:w="1701"/>
        <w:gridCol w:w="1418"/>
        <w:gridCol w:w="1417"/>
        <w:gridCol w:w="1418"/>
        <w:tblGridChange w:id="0">
          <w:tblGrid>
            <w:gridCol w:w="851"/>
            <w:gridCol w:w="1701"/>
            <w:gridCol w:w="1417"/>
            <w:gridCol w:w="1701"/>
            <w:gridCol w:w="1418"/>
            <w:gridCol w:w="1417"/>
            <w:gridCol w:w="1418"/>
          </w:tblGrid>
        </w:tblGridChange>
      </w:tblGrid>
      <w:tr>
        <w:trPr>
          <w:trHeight w:val="640" w:hRule="atLeast"/>
        </w:trP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ind w:left="113" w:right="113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   досліду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Умова досліду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Результати вимірювання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Швидкість різання</w:t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Подача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Головний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-83" w:right="-8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кут в плані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Твердість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матеріалу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  експе-римент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II експе-римент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с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132,4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154,43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151,37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Складемо матрицю планування трьохфакторного експерименту (табл.1.6).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1.6. Матриця планування трьохфакторного експерименту</w:t>
      </w:r>
    </w:p>
    <w:tbl>
      <w:tblPr>
        <w:tblStyle w:val="Table2"/>
        <w:tblW w:w="94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1276"/>
        <w:gridCol w:w="1276"/>
        <w:gridCol w:w="1276"/>
        <w:gridCol w:w="1984"/>
        <w:gridCol w:w="1984"/>
        <w:tblGridChange w:id="0">
          <w:tblGrid>
            <w:gridCol w:w="1701"/>
            <w:gridCol w:w="1276"/>
            <w:gridCol w:w="1276"/>
            <w:gridCol w:w="1276"/>
            <w:gridCol w:w="1984"/>
            <w:gridCol w:w="1984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131,85812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152,26187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129,40187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149,29812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133,74188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153,98812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131,14312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150,88188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Розрахуємо коефіцієнти регресії по формулах /1.4, 1.5, 1.6/: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коефіцієнти при факторах впливу: </w: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10,0356</w:t>
      </w:r>
    </w:p>
    <w:p w:rsidR="00000000" w:rsidDel="00000000" w:rsidP="00000000" w:rsidRDefault="00000000" w:rsidRPr="00000000" w14:paraId="0000008F">
      <w:pPr>
        <w:contextualSpacing w:val="0"/>
        <w:jc w:val="center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-1,39062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-0,86688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коефіцієнти при парних добутках факторів: </w:t>
      </w:r>
    </w:p>
    <w:p w:rsidR="00000000" w:rsidDel="00000000" w:rsidP="00000000" w:rsidRDefault="00000000" w:rsidRPr="00000000" w14:paraId="00000094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0,12687</w:t>
      </w:r>
    </w:p>
    <w:p w:rsidR="00000000" w:rsidDel="00000000" w:rsidP="00000000" w:rsidRDefault="00000000" w:rsidRPr="00000000" w14:paraId="0000009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   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13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j1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0,03937</w:t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23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  <m:f>
          <m:f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fPr>
          <m:num>
            <m:r>
              <w:rPr>
                <w:rFonts w:ascii="Cambria" w:cs="Cambria" w:eastAsia="Cambria" w:hAnsi="Cambria"/>
                <w:sz w:val="20"/>
                <w:szCs w:val="2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den>
        </m:f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naryPr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  <w:sz w:val="20"/>
                <w:szCs w:val="20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j2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j3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*</m:t>
        </m:r>
        <m:sSub>
          <m:sSubPr>
            <m:ctrlPr>
              <w:rPr>
                <w:rFonts w:ascii="Cambria" w:cs="Cambria" w:eastAsia="Cambria" w:hAnsi="Cambria"/>
                <w:sz w:val="20"/>
                <w:szCs w:val="20"/>
              </w:rPr>
            </m:ctrlPr>
          </m:sSubPr>
          <m:e>
            <m:r>
              <w:rPr>
                <w:rFonts w:ascii="Cambria" w:cs="Cambria" w:eastAsia="Cambria" w:hAnsi="Cambria"/>
                <w:sz w:val="20"/>
                <w:szCs w:val="20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sz w:val="20"/>
                <w:szCs w:val="20"/>
              </w:rPr>
              <m:t xml:space="preserve">j</m:t>
            </m:r>
          </m:sub>
        </m:sSub>
        <m:r>
          <w:rPr>
            <w:rFonts w:ascii="Cambria" w:cs="Cambria" w:eastAsia="Cambria" w:hAnsi="Cambria"/>
            <w:sz w:val="20"/>
            <w:szCs w:val="20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0,03563</w:t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36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вільний член рівняння регресії:</w:t>
      </w:r>
    </w:p>
    <w:p w:rsidR="00000000" w:rsidDel="00000000" w:rsidP="00000000" w:rsidRDefault="00000000" w:rsidRPr="00000000" w14:paraId="0000009D">
      <w:pPr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b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8</m:t>
            </m:r>
          </m:den>
        </m:f>
        <m:r>
          <w:rPr>
            <w:rFonts w:ascii="Cambria" w:cs="Cambria" w:eastAsia="Cambria" w:hAnsi="Cambria"/>
          </w:rPr>
          <m:t xml:space="preserve">*</m:t>
        </m:r>
        <m:nary>
          <m:naryPr>
            <m:chr m:val="∑"/>
            <m:ctrlPr>
              <w:rPr>
                <w:rFonts w:ascii="Cambria" w:cs="Cambria" w:eastAsia="Cambria" w:hAnsi="Cambria"/>
              </w:rPr>
            </m:ctrlPr>
          </m:naryPr>
          <m:sub>
            <m:r>
              <w:rPr>
                <w:rFonts w:ascii="Cambria" w:cs="Cambria" w:eastAsia="Cambria" w:hAnsi="Cambria"/>
              </w:rPr>
              <m:t xml:space="preserve">j=1</m:t>
            </m:r>
          </m:sub>
          <m:sup>
            <m:r>
              <w:rPr>
                <w:rFonts w:ascii="Cambria" w:cs="Cambria" w:eastAsia="Cambria" w:hAnsi="Cambria"/>
              </w:rPr>
              <m:t xml:space="preserve">8</m:t>
            </m:r>
          </m:sup>
        </m:nary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</w:rPr>
              <m:t xml:space="preserve">j</m:t>
            </m:r>
          </m:sub>
        </m:sSub>
        <m:r>
          <w:rPr>
            <w:rFonts w:ascii="Cambria" w:cs="Cambria" w:eastAsia="Cambria" w:hAnsi="Cambria"/>
          </w:rPr>
          <m:t xml:space="preserve">=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141,57187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Розраховуємо величину оцінки дисперсії для кожної серії дослідів за формулою /1.7/: 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           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1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=0,5832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=0,2178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3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=0,2888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4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=0,1458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5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=0,1352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6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=0,3872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center"/>
        <w:rPr>
          <w:rFonts w:ascii="Cambria" w:cs="Cambria" w:eastAsia="Cambria" w:hAnsi="Cambr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</w:rPr>
              </m:ctrlPr>
            </m:sSubSupPr>
            <m:e>
              <m:r>
                <w:rPr>
                  <w:rFonts w:ascii="Cambria" w:cs="Cambria" w:eastAsia="Cambria" w:hAnsi="Cambria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</w:rPr>
                <m:t xml:space="preserve">7</m:t>
              </m:r>
            </m:sub>
            <m:sup>
              <m:r>
                <w:rPr>
                  <w:rFonts w:ascii="Cambria" w:cs="Cambria" w:eastAsia="Cambria" w:hAnsi="Cambria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</w:rPr>
            <m:t xml:space="preserve">=0,08405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8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m:t xml:space="preserve">=0,4802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850" w:top="850" w:left="1417" w:right="850" w:header="708" w:footer="708"/>
          <w:cols w:equalWidth="0" w:num="3">
            <w:col w:space="708" w:w="2740.9999999999995"/>
            <w:col w:space="708" w:w="2740.9999999999995"/>
            <w:col w:space="0" w:w="2740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оцінку відтворюваності, тобто середню величину оцінки дисперсії кількох серій паралельних дослідів за формулою /1.8/: </w:t>
      </w:r>
    </w:p>
    <w:p w:rsidR="00000000" w:rsidDel="00000000" w:rsidP="00000000" w:rsidRDefault="00000000" w:rsidRPr="00000000" w14:paraId="000000AD">
      <w:pPr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</m:t>
              </m:r>
            </m:e>
            <m:sub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y</m:t>
              </m:r>
            </m:sub>
            <m:sup>
              <m:r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2</m:t>
              </m:r>
            </m:sup>
          </m:sSubSup>
          <m:r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m:t xml:space="preserve">=0,29028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степенів волі системи: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f=N· (k-1)=8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2880" w:right="0" w:hanging="273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Оцінка дисперсії відтворюваності, згідно з формулою (1.9) </w:t>
      </w: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=0,03629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Перевіримо значимість коефіцієнтів регресії. Для 8 серій дослідів критерій Стьюдента, по табл.1.3, t = 2.31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Коефіцієнт значимий, якщо: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81175" cy="3740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всі коефіцієнти значимі. Рівняння регресії в кодованих змінних має вигляд: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Y=141,572+10,0356·Х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-1,39063·Х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-0,86688·Х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+0,03937·Х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-0,12687·Х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+0,03563·Х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Перевіримо адекватність знайденого рівняння, підставляючи почергово для кожної серії дослідів значення кодованих змінних: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141,57187+10,0356·(-1)-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1,39062·(-1)-0,86688·(+1)-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0,03937·(-1)·(-1)-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0,12687·   (-1)·(+1)+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0,03563·(-1)·(+1) = 131,85812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152,26187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133,74188</w:t>
        <w:tab/>
        <w:tab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150,88188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129,40187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153,98812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149,29812                               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131,14312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993" w:right="0" w:hanging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Розраховані значення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розмістимо в табл.6.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  <w:tab w:val="left" w:pos="567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Розрахуємо оцінку дисперсії адекватності. Оскільки всі коефіцієнти значимі, то В = 5, 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111125" cy="22288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22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224280" cy="4610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46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Тоді розрахункове значення критерію Фішера дорівнює: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drawing>
          <wp:inline distB="0" distT="0" distL="114300" distR="114300">
            <wp:extent cx="1749425" cy="97028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97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табл. 1.4. видно, що табличне значення критерію Фішера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табл.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5.32.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Оскільки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=0.000030&lt;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табл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5,32, то рівняння регресії – адекватне.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Перейдемо від кодованих до фізичних величин. Для цього зведемо в табл.1.7. характеристику плану експерименту.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1.7. Характеристику плану експерименту</w:t>
      </w:r>
    </w:p>
    <w:tbl>
      <w:tblPr>
        <w:tblStyle w:val="Table3"/>
        <w:tblW w:w="9639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1984"/>
        <w:gridCol w:w="1985"/>
        <w:gridCol w:w="1985"/>
        <w:tblGridChange w:id="0">
          <w:tblGrid>
            <w:gridCol w:w="3685"/>
            <w:gridCol w:w="1984"/>
            <w:gridCol w:w="1985"/>
            <w:gridCol w:w="1985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Характеристика плану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Основний рівень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Інтервал вимірювань</w:t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Верхній рівень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Нижній рівень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0.5) / 0.1,   </w:t>
        <w:tab/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38) / 10,   </w:t>
        <w:tab/>
        <w:tab/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75) / 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Підставимо ці величини в рівняння регресії в кодованих змінних. В результаті отримаємо рівняння: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y = 1</w:t>
      </w:r>
      <w:r w:rsidDel="00000000" w:rsidR="00000000" w:rsidRPr="00000000">
        <w:rPr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193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75226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- 0,</w:t>
      </w:r>
      <w:r w:rsidDel="00000000" w:rsidR="00000000" w:rsidRPr="00000000">
        <w:rPr>
          <w:sz w:val="28"/>
          <w:szCs w:val="28"/>
          <w:rtl w:val="0"/>
        </w:rPr>
        <w:t xml:space="preserve">164702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0,</w:t>
      </w:r>
      <w:r w:rsidDel="00000000" w:rsidR="00000000" w:rsidRPr="00000000">
        <w:rPr>
          <w:sz w:val="28"/>
          <w:szCs w:val="28"/>
          <w:rtl w:val="0"/>
        </w:rPr>
        <w:t xml:space="preserve">412338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0,</w:t>
      </w:r>
      <w:r w:rsidDel="00000000" w:rsidR="00000000" w:rsidRPr="00000000">
        <w:rPr>
          <w:sz w:val="28"/>
          <w:szCs w:val="28"/>
          <w:rtl w:val="0"/>
        </w:rPr>
        <w:t xml:space="preserve">12687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31233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+ 0,00</w:t>
      </w:r>
      <w:r w:rsidDel="00000000" w:rsidR="00000000" w:rsidRPr="00000000">
        <w:rPr>
          <w:sz w:val="28"/>
          <w:szCs w:val="28"/>
          <w:rtl w:val="0"/>
        </w:rPr>
        <w:t xml:space="preserve">118767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перевірки підставимо будь-яку комбінацію значень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наприклад: 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0.4,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28, 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78, при яких y=131,9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4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=1</w:t>
      </w:r>
      <w:r w:rsidDel="00000000" w:rsidR="00000000" w:rsidRPr="00000000">
        <w:rPr>
          <w:sz w:val="28"/>
          <w:szCs w:val="28"/>
          <w:rtl w:val="0"/>
        </w:rPr>
        <w:t xml:space="preserve">25.193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700904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611656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- 3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731704 -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420944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944696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+ 2,</w:t>
      </w:r>
      <w:r w:rsidDel="00000000" w:rsidR="00000000" w:rsidRPr="00000000">
        <w:rPr>
          <w:sz w:val="28"/>
          <w:szCs w:val="28"/>
          <w:rtl w:val="0"/>
        </w:rPr>
        <w:t xml:space="preserve">59387128= 131,668167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24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544"/>
        </w:tabs>
        <w:spacing w:after="0" w:before="0" w:line="360" w:lineRule="auto"/>
        <w:ind w:left="284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Як видно, значення, отримане по моделі, близьке до експериментального, отже, отримана математична модель достатньо добре описує досліджуваний технологічний процес.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