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2A4A"/>
          <w:sz w:val="52"/>
          <w:szCs w:val="52"/>
        </w:rPr>
        <w:t xml:space="preserve">West Africa Free Trade Zone</w:t>
      </w:r>
    </w:p>
    <w:p>
      <w:pPr>
        <w:spacing w:after="100"/>
        <w:jc w:val="center"/>
      </w:pPr>
      <w:r>
        <w:rPr>
          <w:rFonts w:ascii="Arial" w:cs="Arial" w:eastAsia="Arial" w:hAnsi="Arial"/>
          <w:color w:val="2E75B6"/>
          <w:sz w:val="36"/>
          <w:szCs w:val="36"/>
        </w:rPr>
        <w:t xml:space="preserve">Network Analysis &amp; Model Findings</w:t>
      </w:r>
    </w:p>
    <w:p>
      <w:pPr>
        <w:pBdr>
          <w:bottom w:val="single" w:color="2E75B6" w:sz="6" w:space="1"/>
        </w:pBdr>
        <w:spacing w:after="400"/>
        <w:jc w:val="center"/>
      </w:pPr>
    </w:p>
    <w:p>
      <w:pPr>
        <w:spacing w:after="100"/>
        <w:jc w:val="center"/>
      </w:pPr>
      <w:r>
        <w:rPr>
          <w:rFonts w:ascii="Arial" w:cs="Arial" w:eastAsia="Arial" w:hAnsi="Arial"/>
          <w:color w:val="666666"/>
          <w:sz w:val="24"/>
          <w:szCs w:val="24"/>
        </w:rPr>
        <w:t xml:space="preserve">Internal Team Report</w:t>
      </w:r>
    </w:p>
    <w:p>
      <w:pPr>
        <w:spacing w:after="100"/>
        <w:jc w:val="center"/>
      </w:pPr>
      <w:r>
        <w:rPr>
          <w:rFonts w:ascii="Arial" w:cs="Arial" w:eastAsia="Arial" w:hAnsi="Arial"/>
          <w:color w:val="666666"/>
          <w:sz w:val="24"/>
          <w:szCs w:val="24"/>
        </w:rPr>
        <w:t xml:space="preserve">February 2026</w:t>
      </w:r>
    </w:p>
    <w:p>
      <w:pPr>
        <w:jc w:val="center"/>
      </w:pPr>
      <w:r>
        <w:rPr>
          <w:rFonts w:ascii="Arial" w:cs="Arial" w:eastAsia="Arial" w:hAnsi="Arial"/>
          <w:i/>
          <w:iCs/>
          <w:color w:val="666666"/>
          <w:sz w:val="24"/>
          <w:szCs w:val="24"/>
        </w:rPr>
        <w:t xml:space="preserve">Bloomsbury Technologies</w:t>
      </w:r>
    </w:p>
    <w:p>
      <w:pPr>
        <w:sectPr>
          <w:pgSz w:w="12240" w:h="15840" w:orient="portrait"/>
          <w:pgMar w:top="1440" w:right="1440" w:bottom="1440" w:left="1440" w:header="708" w:footer="708" w:gutter="0"/>
          <w:pgNumType/>
          <w:docGrid w:linePitch="360"/>
        </w:sectPr>
      </w:pPr>
    </w:p>
    <w:p>
      <w:pPr>
        <w:pStyle w:val="Heading1"/>
      </w:pPr>
      <w:r>
        <w:t xml:space="preserve">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pPr>
        <w:spacing w:after="120"/>
      </w:pPr>
      <w:r>
        <w:rPr>
          <w:rFonts w:ascii="Arial" w:cs="Arial" w:eastAsia="Arial" w:hAnsi="Arial"/>
          <w:sz w:val="22"/>
          <w:szCs w:val="22"/>
        </w:rPr>
        <w:t xml:space="preserve">This report presents the findings from our West Africa Free Trade Zone network analysis system. The model processes 45 cities across 18 countries, connected by 175 multi-type economic relationships spanning trade, political, cultural, migratory, labour, infrastructure, and financial ties.</w:t>
      </w:r>
    </w:p>
    <w:p>
      <w:pPr>
        <w:spacing w:after="120"/>
      </w:pPr>
      <w:r>
        <w:rPr>
          <w:rFonts w:ascii="Arial" w:cs="Arial" w:eastAsia="Arial" w:hAnsi="Arial"/>
          <w:sz w:val="22"/>
          <w:szCs w:val="22"/>
        </w:rPr>
        <w:t xml:space="preserve">Our analysis pipeline produced four classes of output: graph-structural metrics identifying systemically important cities; composite FTZ impact scores ranking 29 target cities on trade readiness; route vulnerability assessments highlighting supply chain fragility; and economic cascade simulations modelling the systemic consequences of country-level ECOWAS exits.</w:t>
      </w:r>
    </w:p>
    <w:p>
      <w:pPr>
        <w:spacing w:after="120"/>
      </w:pPr>
      <w:r>
        <w:rPr>
          <w:rFonts w:ascii="Arial" w:cs="Arial" w:eastAsia="Arial" w:hAnsi="Arial"/>
          <w:sz w:val="22"/>
          <w:szCs w:val="22"/>
        </w:rPr>
        <w:t xml:space="preserve">The key headline findings are as follows. Abidjan emerges as the single most important node in the West African trade network with the highest betweenness centrality (0.354) and FTZ impact score (0.667). A Nigerian exit from ECOWAS would be catastrophic, with severity 0.718 and $12.25 billion in disrupted trade volume. We identified 19 opportunity signals where structural connectivity predicts higher trade flows than currently observed, with Dakar showing the largest untapped gap. Kumasi and Nouakchott are the most route-vulnerable cities, each with a risk score of 0.600.</w:t>
      </w:r>
    </w:p>
    <w:p>
      <w:r>
        <w:br w:type="page"/>
      </w:r>
    </w:p>
    <w:p>
      <w:pPr>
        <w:pStyle w:val="Heading1"/>
      </w:pPr>
      <w:r>
        <w:t xml:space="preserve">Network Structure &amp; Graph Metrics</w:t>
      </w:r>
    </w:p>
    <w:p>
      <w:pPr>
        <w:pStyle w:val="Heading2"/>
      </w:pPr>
      <w:r>
        <w:t xml:space="preserve">Network Composition</w:t>
      </w:r>
    </w:p>
    <w:p>
      <w:pPr>
        <w:spacing w:after="120"/>
      </w:pPr>
      <w:r>
        <w:rPr>
          <w:rFonts w:ascii="Arial" w:cs="Arial" w:eastAsia="Arial" w:hAnsi="Arial"/>
          <w:sz w:val="22"/>
          <w:szCs w:val="22"/>
        </w:rPr>
        <w:t xml:space="preserve">The graph contains 45 city-nodes and 175 edges. The network is fully connected (single component), meaning every city can reach every other city through some path. Within this network, 29 cities are designated FTZ targets, 19 are port cities, and the membership breaks down as follows: 17 active ECOWAS members, 13 UEMOA/CFA zone members, 11 suspended (including Mali, Burkina Faso, Niger, and Guinea), and 4 external partners.</w:t>
      </w:r>
    </w:p>
    <w:p>
      <w:pPr>
        <w:pStyle w:val="Heading2"/>
      </w:pPr>
      <w:r>
        <w:t xml:space="preserve">Structural Vulnerabilities</w:t>
      </w:r>
    </w:p>
    <w:p>
      <w:pPr>
        <w:spacing w:after="120"/>
      </w:pPr>
      <w:r>
        <w:rPr>
          <w:rFonts w:ascii="Arial" w:cs="Arial" w:eastAsia="Arial" w:hAnsi="Arial"/>
          <w:sz w:val="22"/>
          <w:szCs w:val="22"/>
        </w:rPr>
        <w:t xml:space="preserve">The model identified 4 articulation points (cities whose removal would disconnect the graph): Thies, Dakar, Freetown, and Bamako. There are also 4 bridge edges. Within the ECOWAS-only subgraph, 6 cut vertices were detected (Thies, Dakar, Lome, Accra, Freetown, and others), indicating that the ECOWAS trade network is more structurally fragile than the broader West African graph.</w:t>
      </w:r>
    </w:p>
    <w:p>
      <w:pPr>
        <w:spacing w:after="120"/>
      </w:pPr>
      <w:r>
        <w:rPr>
          <w:rFonts w:ascii="Arial" w:cs="Arial" w:eastAsia="Arial" w:hAnsi="Arial"/>
          <w:sz w:val="22"/>
          <w:szCs w:val="22"/>
        </w:rPr>
        <w:t xml:space="preserve">This is an important finding: the suspended Sahel states are not just politically removed — their absence creates genuine structural fragility in the remaining ECOWAS network.</w:t>
      </w:r>
    </w:p>
    <w:p>
      <w:pPr>
        <w:pStyle w:val="Heading2"/>
      </w:pPr>
      <w:r>
        <w:t xml:space="preserve">Centrality Rankings</w:t>
      </w:r>
    </w:p>
    <w:p>
      <w:pPr>
        <w:spacing w:after="120"/>
      </w:pPr>
      <w:r>
        <w:rPr>
          <w:rFonts w:ascii="Arial" w:cs="Arial" w:eastAsia="Arial" w:hAnsi="Arial"/>
          <w:sz w:val="22"/>
          <w:szCs w:val="22"/>
        </w:rPr>
        <w:t xml:space="preserve">Betweenness centrality measures how often a city sits on the shortest path between other city pairs, making it a proxy for trade intermediation power. The top 10 cities by betweenness centrality are: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3360"/>
        <w:gridCol w:w="2500"/>
      </w:tblGrid>
      <w:tr>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Rank</w:t>
            </w:r>
          </w:p>
        </w:tc>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City</w:t>
            </w:r>
          </w:p>
        </w:tc>
        <w:tc>
          <w:tcPr>
            <w:tcW w:type="dxa" w:w="3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Country</w:t>
            </w:r>
          </w:p>
        </w:tc>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Betweenness</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Abidjan</w:t>
            </w:r>
          </w:p>
        </w:tc>
        <w:tc>
          <w:tcPr>
            <w:tcW w:type="dxa" w:w="3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Côte d’Ivoire</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0.354</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Dakar</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Senegal</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0.263</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3</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Lagos</w:t>
            </w:r>
          </w:p>
        </w:tc>
        <w:tc>
          <w:tcPr>
            <w:tcW w:type="dxa" w:w="3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Nigeria</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0.209</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Accra</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Ghana</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0.201</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5</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Bamako</w:t>
            </w:r>
          </w:p>
        </w:tc>
        <w:tc>
          <w:tcPr>
            <w:tcW w:type="dxa" w:w="3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Mali</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0.155</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6</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Niamey</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Niger</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0.103</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7</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Freetown</w:t>
            </w:r>
          </w:p>
        </w:tc>
        <w:tc>
          <w:tcPr>
            <w:tcW w:type="dxa" w:w="3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Sierra Leone</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0.058</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8</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Thies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Senegal</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0.054</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9</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Lomé</w:t>
            </w:r>
          </w:p>
        </w:tc>
        <w:tc>
          <w:tcPr>
            <w:tcW w:type="dxa" w:w="3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Togo</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0.049</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10</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Cotonou</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Benin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0.045</w:t>
            </w:r>
          </w:p>
        </w:tc>
      </w:tr>
    </w:tbl>
    <w:p>
      <w:pPr>
        <w:spacing w:after="200"/>
      </w:pPr>
    </w:p>
    <w:p>
      <w:pPr>
        <w:spacing w:after="120"/>
      </w:pPr>
      <w:r>
        <w:rPr>
          <w:rFonts w:ascii="Arial" w:cs="Arial" w:eastAsia="Arial" w:hAnsi="Arial"/>
          <w:sz w:val="22"/>
          <w:szCs w:val="22"/>
        </w:rPr>
        <w:t xml:space="preserve">A notable finding is that Abidjan’s betweenness (0.354) significantly exceeds Lagos (0.209), despite Lagos being the larger economic centre. This reflects Abidjan’s geographic centrality and its role as a gateway to the CFA zone. Bamako and Niamey — both in suspended states — remain structurally important, ranking 5th and 6th. This underscores the cost of their political suspension from ECOWAS.</w:t>
      </w:r>
    </w:p>
    <w:p>
      <w:r>
        <w:br w:type="page"/>
      </w:r>
    </w:p>
    <w:p>
      <w:pPr>
        <w:pStyle w:val="Heading1"/>
      </w:pPr>
      <w:r>
        <w:t xml:space="preserve">FTZ Trade Impact Scores</w:t>
      </w:r>
    </w:p>
    <w:p>
      <w:pPr>
        <w:spacing w:after="120"/>
      </w:pPr>
      <w:r>
        <w:rPr>
          <w:rFonts w:ascii="Arial" w:cs="Arial" w:eastAsia="Arial" w:hAnsi="Arial"/>
          <w:sz w:val="22"/>
          <w:szCs w:val="22"/>
        </w:rPr>
        <w:t xml:space="preserve">Each FTZ target city is scored on a composite index (0–1) using seven weighted components: connectivity (20%), port access (20%), tariff exposure (15%), trade volume (15%), diversification (10%), border proximity (10%), and political stability (10%). The top 10 cities are:</w:t>
      </w:r>
    </w:p>
    <w:p>
      <w:pPr>
        <w:spacing w:after="20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2360"/>
        <w:gridCol w:w="900"/>
        <w:gridCol w:w="1500"/>
        <w:gridCol w:w="900"/>
        <w:gridCol w:w="1100"/>
      </w:tblGrid>
      <w:tr>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Rank</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City</w:t>
            </w:r>
          </w:p>
        </w:tc>
        <w:tc>
          <w:tcPr>
            <w:tcW w:type="dxa" w:w="2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Country</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Score</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Connectivity</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Port</w:t>
            </w:r>
          </w:p>
        </w:tc>
        <w:tc>
          <w:tcPr>
            <w:tcW w:type="dxa" w:w="11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Stability</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w:t>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Abidjan</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Côte d’Ivoire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0.667</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1.00</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0.60</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2</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Dakar</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Senegal</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0.653</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0.88</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1.00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0.65</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3</w:t>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Lagos</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Nigeria</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0.594</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0.70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1.00</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0.45</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4</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Accra</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Ghana</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0.580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0.67</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1.00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0.55</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5</w:t>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Casablanca</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Morocco</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0.507</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0.03</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1.00</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0.70</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6</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Bamako</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Mali</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0.473</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0.52</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0.96</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0.20</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7</w:t>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Lomé</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Togo</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0.449</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0.16</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1.00</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0.50</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8</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Cotonou</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Benin</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0.443</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0.15</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1.00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0.60</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9</w:t>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Niamey</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Niger</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0.442</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0.34</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0.96</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0.15</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10</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Freetown</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Sierra Leone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0.426</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0.19</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1.00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0.40</w:t>
            </w:r>
          </w:p>
        </w:tc>
      </w:tr>
    </w:tbl>
    <w:p>
      <w:pPr>
        <w:spacing w:after="200"/>
      </w:pPr>
    </w:p>
    <w:p>
      <w:pPr>
        <w:spacing w:after="120"/>
      </w:pPr>
      <w:r>
        <w:rPr>
          <w:rFonts w:ascii="Arial" w:cs="Arial" w:eastAsia="Arial" w:hAnsi="Arial"/>
          <w:sz w:val="22"/>
          <w:szCs w:val="22"/>
        </w:rPr>
        <w:t xml:space="preserve">Several patterns emerge from the scoring. The top 4 cities (Abidjan, Dakar, Lagos, Accra) are all major coastal hubs with both high connectivity and port access, confirming that trade infrastructure is the primary differentiator. Casablanca ranks 5th despite near-zero connectivity, carried almost entirely by its port score and stability — it benefits from being an external gateway. Bamako (6th) and Niamey (9th) score well on connectivity but are dragged down sharply by political stability scores of 0.20 and 0.15 respectively. Lagos is penalised relative to Abidjan primarily on stability (0.45 vs 0.60) and tariff exposure (0.32 vs 0.24).</w:t>
      </w:r>
    </w:p>
    <w:p>
      <w:r>
        <w:br w:type="page"/>
      </w:r>
    </w:p>
    <w:p>
      <w:pPr>
        <w:pStyle w:val="Heading1"/>
      </w:pPr>
      <w:r>
        <w:t xml:space="preserve">Trade Route Vulnerability</w:t>
      </w:r>
    </w:p>
    <w:p>
      <w:pPr>
        <w:spacing w:after="120"/>
      </w:pPr>
      <w:r>
        <w:rPr>
          <w:rFonts w:ascii="Arial" w:cs="Arial" w:eastAsia="Arial" w:hAnsi="Arial"/>
          <w:sz w:val="22"/>
          <w:szCs w:val="22"/>
        </w:rPr>
        <w:t xml:space="preserve">The trade route analyzer uses Dijkstra shortest-path calculations from 7 major ports (Lagos, Abidjan, Dakar, Tema, Lomé, Cotonou, Conakry), combined with route redundancy counts and minimum node-cut analysis, to produce a risk score for each city. Higher risk means fewer alternative routes and lower resilience to disruption.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100"/>
        <w:gridCol w:w="800"/>
        <w:gridCol w:w="1400"/>
        <w:gridCol w:w="1100"/>
        <w:gridCol w:w="3160"/>
      </w:tblGrid>
      <w:tr>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Rank</w:t>
            </w:r>
          </w:p>
        </w:tc>
        <w:tc>
          <w:tcPr>
            <w:tcW w:type="dxa" w:w="21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City</w:t>
            </w:r>
          </w:p>
        </w:tc>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Risk</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Redundancy</w:t>
            </w:r>
          </w:p>
        </w:tc>
        <w:tc>
          <w:tcPr>
            <w:tcW w:type="dxa" w:w="11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Min-Cut</w:t>
            </w:r>
          </w:p>
        </w:tc>
        <w:tc>
          <w:tcPr>
            <w:tcW w:type="dxa" w:w="3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Shortest Route</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w:t>
            </w:r>
          </w:p>
        </w:tc>
        <w:tc>
          <w:tcPr>
            <w:tcW w:type="dxa" w:w="2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Kumasi</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0.600</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33,314</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2</w:t>
            </w:r>
          </w:p>
        </w:tc>
        <w:tc>
          <w:tcPr>
            <w:tcW w:type="dxa" w:w="3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Lagos → Accra → Kumasi</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2</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Nouakchott</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0.600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30,582</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2</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Dakar → Nouakchott</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3</w:t>
            </w:r>
          </w:p>
        </w:tc>
        <w:tc>
          <w:tcPr>
            <w:tcW w:type="dxa" w:w="2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Kano</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0.400</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56,065</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3</w:t>
            </w:r>
          </w:p>
        </w:tc>
        <w:tc>
          <w:tcPr>
            <w:tcW w:type="dxa" w:w="3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Lagos → Kano</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4</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Bobo-Dioulasso</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0.400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44,899</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3</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Abidjan → Bobo-Dioulasso</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5</w:t>
            </w:r>
          </w:p>
        </w:tc>
        <w:tc>
          <w:tcPr>
            <w:tcW w:type="dxa" w:w="2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Abuja</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0.200</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66,432</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4</w:t>
            </w:r>
          </w:p>
        </w:tc>
        <w:tc>
          <w:tcPr>
            <w:tcW w:type="dxa" w:w="3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Dakar → Abuja</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6</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Accra</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0.200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64,871</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4</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Lagos → Accra</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7</w:t>
            </w:r>
          </w:p>
        </w:tc>
        <w:tc>
          <w:tcPr>
            <w:tcW w:type="dxa" w:w="2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Yamoussoukro</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0.200</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54,175</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4</w:t>
            </w:r>
          </w:p>
        </w:tc>
        <w:tc>
          <w:tcPr>
            <w:tcW w:type="dxa" w:w="3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Abidjan → Yamoussoukro</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8</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Bamako</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0.200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67,175</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4</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Abidjan → Bamako</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9</w:t>
            </w:r>
          </w:p>
        </w:tc>
        <w:tc>
          <w:tcPr>
            <w:tcW w:type="dxa" w:w="2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Ouagadougou</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0.200</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75,909</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4</w:t>
            </w:r>
          </w:p>
        </w:tc>
        <w:tc>
          <w:tcPr>
            <w:tcW w:type="dxa" w:w="3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Abidjan → Ouagadougou</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10</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Niamey</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0.200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69,139</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4</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Abidjan → Niamey</w:t>
            </w:r>
          </w:p>
        </w:tc>
      </w:tr>
    </w:tbl>
    <w:p>
      <w:pPr>
        <w:spacing w:after="200"/>
      </w:pPr>
    </w:p>
    <w:p>
      <w:pPr>
        <w:spacing w:after="120"/>
      </w:pPr>
      <w:r>
        <w:rPr>
          <w:rFonts w:ascii="Arial" w:cs="Arial" w:eastAsia="Arial" w:hAnsi="Arial"/>
          <w:sz w:val="22"/>
          <w:szCs w:val="22"/>
        </w:rPr>
        <w:t xml:space="preserve">Kumasi and Nouakchott are the most vulnerable cities (risk 0.600), each with a minimum node-cut of just 2. Kumasi depends entirely on Accra as an intermediary from Lagos, while Nouakchott has only a single primary route through Dakar. Both are prime candidates for infrastructure investment to create alternative corridors.</w:t>
      </w:r>
    </w:p>
    <w:p>
      <w:pPr>
        <w:spacing w:after="120"/>
      </w:pPr>
      <w:r>
        <w:rPr>
          <w:rFonts w:ascii="Arial" w:cs="Arial" w:eastAsia="Arial" w:hAnsi="Arial"/>
          <w:sz w:val="22"/>
          <w:szCs w:val="22"/>
        </w:rPr>
        <w:t xml:space="preserve">The landlocked Sahel cities (Bamako, Ouagadougou, Niamey) show moderate risk (0.200) but their shortest routes all funnel through Abidjan, creating a single point of dependency on Côte d’Ivoire’s port infrastructure.</w:t>
      </w:r>
    </w:p>
    <w:p>
      <w:r>
        <w:br w:type="page"/>
      </w:r>
    </w:p>
    <w:p>
      <w:pPr>
        <w:pStyle w:val="Heading1"/>
      </w:pPr>
      <w:r>
        <w:t xml:space="preserve">Economic Cascade Simulations</w:t>
      </w:r>
    </w:p>
    <w:p>
      <w:pPr>
        <w:spacing w:after="120"/>
      </w:pPr>
      <w:r>
        <w:rPr>
          <w:rFonts w:ascii="Arial" w:cs="Arial" w:eastAsia="Arial" w:hAnsi="Arial"/>
          <w:sz w:val="22"/>
          <w:szCs w:val="22"/>
        </w:rPr>
        <w:t xml:space="preserve">The cascade simulator models the systemic impact of country-level ECOWAS exits by removing all trade and financial edges for the departing country, then measuring graph fragmentation, trade disruption, and city isolation. Three scenarios were tested.</w:t>
      </w:r>
    </w:p>
    <w:p>
      <w:pPr>
        <w:pStyle w:val="Heading2"/>
      </w:pPr>
      <w:r>
        <w:t xml:space="preserve">Scenario 1: Nigeria Exit</w:t>
      </w:r>
    </w:p>
    <w:p>
      <w:pPr>
        <w:spacing w:after="120"/>
      </w:pPr>
      <w:r>
        <w:rPr>
          <w:rFonts w:ascii="Arial" w:cs="Arial" w:eastAsia="Arial" w:hAnsi="Arial"/>
          <w:sz w:val="22"/>
          <w:szCs w:val="22"/>
        </w:rPr>
        <w:t xml:space="preserve">A Nigerian exit would be the most severe scenario tested, with a severity score of 0.718 (on a 0–1 scale). The exit would directly affect 7 Nigerian cities, isolate 3 cities (Kaolack, San-Pedro, Takoradi), and disrupt trade flows for 9 cities including Abidjan, Accra, Casablanca, Cotonou, and Dakar. The total trade volume affected would be $12.25 billion, and the ECOWAS subgraph would fragment from 1 component into 4.</w:t>
      </w:r>
    </w:p>
    <w:p>
      <w:pPr>
        <w:spacing w:after="120"/>
      </w:pPr>
      <w:r>
        <w:rPr>
          <w:rFonts w:ascii="Arial" w:cs="Arial" w:eastAsia="Arial" w:hAnsi="Arial"/>
          <w:sz w:val="22"/>
          <w:szCs w:val="22"/>
        </w:rPr>
        <w:t xml:space="preserve">This scenario effectively breaks the West African trade network into distinct sub-regions, with the coastal corridor between Côte d’Ivoire and Ghana losing its eastern anchor.</w:t>
      </w:r>
    </w:p>
    <w:p>
      <w:pPr>
        <w:pStyle w:val="Heading2"/>
      </w:pPr>
      <w:r>
        <w:t xml:space="preserve">Scenario 2: Mali Exit</w:t>
      </w:r>
    </w:p>
    <w:p>
      <w:pPr>
        <w:spacing w:after="120"/>
      </w:pPr>
      <w:r>
        <w:rPr>
          <w:rFonts w:ascii="Arial" w:cs="Arial" w:eastAsia="Arial" w:hAnsi="Arial"/>
          <w:sz w:val="22"/>
          <w:szCs w:val="22"/>
        </w:rPr>
        <w:t xml:space="preserve">A Malian exit produces a much lower severity (0.224), affecting 3 Malian cities directly and disrupting trade for Abidjan, Conakry, and Dakar. However, it would isolate 5 cities (Kaduna, Kaolack, San-Pedro, Takoradi, Warri) and fragment the network into 6 components — actually more fragments than the Nigeria scenario. The trade volume affected is $1.47 billion. Mali’s role as a structural bridge (5th in betweenness centrality) means its departure creates disproportionate fragmentation relative to its economic weight.</w:t>
      </w:r>
    </w:p>
    <w:p>
      <w:pPr>
        <w:pStyle w:val="Heading2"/>
      </w:pPr>
      <w:r>
        <w:t xml:space="preserve">Scenario 3: Alliance of Sahel States Multi-Exit</w:t>
      </w:r>
    </w:p>
    <w:p>
      <w:pPr>
        <w:spacing w:after="120"/>
      </w:pPr>
      <w:r>
        <w:rPr>
          <w:rFonts w:ascii="Arial" w:cs="Arial" w:eastAsia="Arial" w:hAnsi="Arial"/>
          <w:sz w:val="22"/>
          <w:szCs w:val="22"/>
        </w:rPr>
        <w:t xml:space="preserve">The simultaneous departure of Mali, Burkina Faso, and Niger affects 9 cities directly, isolates 5 cities, and produces 6 network components with $4.33 billion in trade volume affected. The severity score is 0.218 — counterintuitively lower than Mali alone. This is because the Sahel states are already partially suspended, and their collective exit, while removing more nodes, doesn’t create additional fragmentation beyond what Mali’s departure already causes. The damage is already largely priced in.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600"/>
        <w:gridCol w:w="1200"/>
        <w:gridCol w:w="1560"/>
        <w:gridCol w:w="1800"/>
      </w:tblGrid>
      <w:t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Scenario</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Severity</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Affected Cities</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Isolated</w:t>
            </w:r>
          </w:p>
        </w:tc>
        <w:tc>
          <w:tcPr>
            <w:tcW w:type="dxa" w:w="1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Components</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Trade Vol ($M)</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Nigeria exit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0.718</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7</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3</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4</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12,250</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Mali exit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0.224</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5</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1,470</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Sahel multi-exit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0.218</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9</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5</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6</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4,330</w:t>
            </w:r>
          </w:p>
        </w:tc>
      </w:tr>
    </w:tbl>
    <w:p>
      <w:r>
        <w:br w:type="page"/>
      </w:r>
    </w:p>
    <w:p>
      <w:pPr>
        <w:pStyle w:val="Heading1"/>
      </w:pPr>
      <w:r>
        <w:t xml:space="preserve">Trade Opportunity Signals</w:t>
      </w:r>
    </w:p>
    <w:p>
      <w:pPr>
        <w:spacing w:after="120"/>
      </w:pPr>
      <w:r>
        <w:rPr>
          <w:rFonts w:ascii="Arial" w:cs="Arial" w:eastAsia="Arial" w:hAnsi="Arial"/>
          <w:sz w:val="22"/>
          <w:szCs w:val="22"/>
        </w:rPr>
        <w:t xml:space="preserve">The opportunity signal generator compares a structural model’s predicted trade flow (based on connectivity, port access, and stability) against actual observed trade flows. A positive gap indicates untapped trade potential; a negative gap indicates overextended trade relative to structural fundamentals.</w:t>
      </w:r>
    </w:p>
    <w:p>
      <w:pPr>
        <w:spacing w:after="120"/>
      </w:pPr>
      <w:r>
        <w:rPr>
          <w:rFonts w:ascii="Arial" w:cs="Arial" w:eastAsia="Arial" w:hAnsi="Arial"/>
          <w:sz w:val="22"/>
          <w:szCs w:val="22"/>
        </w:rPr>
        <w:t xml:space="preserve">Of 29 cities analysed, 19 produced opportunity signals (positive gap &gt; 10%), 1 produced a risk signal, and 9 were neutral. The top 10 opportunities are: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2260"/>
        <w:gridCol w:w="1600"/>
        <w:gridCol w:w="1100"/>
        <w:gridCol w:w="2100"/>
      </w:tblGrid>
      <w:tr>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Rank</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City</w:t>
            </w:r>
          </w:p>
        </w:tc>
        <w:tc>
          <w:tcPr>
            <w:tcW w:type="dxa" w:w="22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Country</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Signal</w:t>
            </w:r>
          </w:p>
        </w:tc>
        <w:tc>
          <w:tcPr>
            <w:tcW w:type="dxa" w:w="11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Gap</w:t>
            </w:r>
          </w:p>
        </w:tc>
        <w:tc>
          <w:tcPr>
            <w:tcW w:type="dxa" w:w="21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Confidence</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Dakar</w:t>
            </w:r>
          </w:p>
        </w:tc>
        <w:tc>
          <w:tcPr>
            <w:tcW w:type="dxa" w:w="2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Senegal</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OPPORTUNITY</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+0.382</w:t>
            </w:r>
          </w:p>
        </w:tc>
        <w:tc>
          <w:tcPr>
            <w:tcW w:type="dxa" w:w="2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1.00</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2</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Praia</w:t>
            </w:r>
          </w:p>
        </w:tc>
        <w:tc>
          <w:tcPr>
            <w:tcW w:type="dxa" w:w="2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Cape Verde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OPPORTUNITY</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+0.270</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0.90</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3</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Freetown</w:t>
            </w:r>
          </w:p>
        </w:tc>
        <w:tc>
          <w:tcPr>
            <w:tcW w:type="dxa" w:w="2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Sierra Leone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OPPORTUNITY</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+0.269</w:t>
            </w:r>
          </w:p>
        </w:tc>
        <w:tc>
          <w:tcPr>
            <w:tcW w:type="dxa" w:w="2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0.90</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4</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Tangier</w:t>
            </w:r>
          </w:p>
        </w:tc>
        <w:tc>
          <w:tcPr>
            <w:tcW w:type="dxa" w:w="2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Morocco</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OPPORTUNITY</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+0.260</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0.87</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5</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San-Pedro</w:t>
            </w:r>
          </w:p>
        </w:tc>
        <w:tc>
          <w:tcPr>
            <w:tcW w:type="dxa" w:w="2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Côte d’Ivoire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OPPORTUNITY</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+0.240</w:t>
            </w:r>
          </w:p>
        </w:tc>
        <w:tc>
          <w:tcPr>
            <w:tcW w:type="dxa" w:w="2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0.80</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6</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Abidjan</w:t>
            </w:r>
          </w:p>
        </w:tc>
        <w:tc>
          <w:tcPr>
            <w:tcW w:type="dxa" w:w="2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Côte d’Ivoire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OPPORTUNITY</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+0.237</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0.79</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7</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Takoradi</w:t>
            </w:r>
          </w:p>
        </w:tc>
        <w:tc>
          <w:tcPr>
            <w:tcW w:type="dxa" w:w="2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Ghana</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OPPORTUNITY</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+0.230</w:t>
            </w:r>
          </w:p>
        </w:tc>
        <w:tc>
          <w:tcPr>
            <w:tcW w:type="dxa" w:w="2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0.77</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8</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Warri</w:t>
            </w:r>
          </w:p>
        </w:tc>
        <w:tc>
          <w:tcPr>
            <w:tcW w:type="dxa" w:w="2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Nigeria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OPPORTUNITY</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+0.210</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0.70</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9</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Banjul</w:t>
            </w:r>
          </w:p>
        </w:tc>
        <w:tc>
          <w:tcPr>
            <w:tcW w:type="dxa" w:w="2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Gambia</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OPPORTUNITY</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+0.201</w:t>
            </w:r>
          </w:p>
        </w:tc>
        <w:tc>
          <w:tcPr>
            <w:tcW w:type="dxa" w:w="2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0.67</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Bissau</w:t>
            </w:r>
          </w:p>
        </w:tc>
        <w:tc>
          <w:tcPr>
            <w:tcW w:type="dxa" w:w="2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Guinea-Bissau</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OPPORTUNITY</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+0.200</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0.67</w:t>
            </w:r>
          </w:p>
        </w:tc>
      </w:tr>
    </w:tbl>
    <w:p>
      <w:pPr>
        <w:spacing w:after="200"/>
      </w:pPr>
    </w:p>
    <w:p>
      <w:pPr>
        <w:spacing w:after="120"/>
      </w:pPr>
      <w:r>
        <w:rPr>
          <w:rFonts w:ascii="Arial" w:cs="Arial" w:eastAsia="Arial" w:hAnsi="Arial"/>
          <w:sz w:val="22"/>
          <w:szCs w:val="22"/>
        </w:rPr>
        <w:t xml:space="preserve">Dakar stands out with the largest gap (+0.382) and maximum confidence (1.00). The model predicts Dakar should have a normalised trade flow of 0.601 based on its connectivity and infrastructure, but the actual flow is only 0.220. This 38-point gap represents the single largest untapped trade opportunity in the network.</w:t>
      </w:r>
    </w:p>
    <w:p>
      <w:pPr>
        <w:spacing w:after="120"/>
      </w:pPr>
      <w:r>
        <w:rPr>
          <w:rFonts w:ascii="Arial" w:cs="Arial" w:eastAsia="Arial" w:hAnsi="Arial"/>
          <w:sz w:val="22"/>
          <w:szCs w:val="22"/>
        </w:rPr>
        <w:t xml:space="preserve">Several cities — Praia, Tangier, San-Pedro, Takoradi, and Warri — show zero actual trade flow despite meaningful structural predictions, suggesting they are entirely unrealised trade corridors. These represent greenfield opportunities for new trade route development.</w:t>
      </w:r>
    </w:p>
    <w:p>
      <w:r>
        <w:br w:type="page"/>
      </w:r>
    </w:p>
    <w:p>
      <w:pPr>
        <w:pStyle w:val="Heading1"/>
      </w:pPr>
      <w:r>
        <w:t xml:space="preserve">Key Takeaways &amp; Recommendations</w:t>
      </w:r>
    </w:p>
    <w:p>
      <w:pPr>
        <w:pStyle w:val="Heading2"/>
      </w:pPr>
      <w:r>
        <w:t xml:space="preserve">Strategic Priorities</w:t>
      </w:r>
    </w:p>
    <w:p>
      <w:pPr>
        <w:pStyle w:val="ListParagraph"/>
        <w:numPr>
          <w:ilvl w:val="0"/>
          <w:numId w:val="2"/>
        </w:numPr>
        <w:spacing w:after="80"/>
      </w:pPr>
      <w:r>
        <w:rPr>
          <w:rFonts w:ascii="Arial" w:cs="Arial" w:eastAsia="Arial" w:hAnsi="Arial"/>
          <w:sz w:val="22"/>
          <w:szCs w:val="22"/>
        </w:rPr>
        <w:t xml:space="preserve">Abidjan is the network’s centre of gravity. It leads on betweenness centrality, FTZ impact score, and serves as the primary gateway for all three landlocked Sahel capitals. Any FTZ strategy must be anchored in Abidjan.</w:t>
      </w:r>
    </w:p>
    <w:p>
      <w:pPr>
        <w:pStyle w:val="ListParagraph"/>
        <w:numPr>
          <w:ilvl w:val="0"/>
          <w:numId w:val="2"/>
        </w:numPr>
        <w:spacing w:after="80"/>
      </w:pPr>
      <w:r>
        <w:rPr>
          <w:rFonts w:ascii="Arial" w:cs="Arial" w:eastAsia="Arial" w:hAnsi="Arial"/>
          <w:sz w:val="22"/>
          <w:szCs w:val="22"/>
        </w:rPr>
        <w:t xml:space="preserve">Dakar is the biggest untapped opportunity. Despite being the 2nd most connected city, its actual trade flows are well below structural predictions. Targeted trade facilitation in Dakar could yield the highest marginal returns.</w:t>
      </w:r>
    </w:p>
    <w:p>
      <w:pPr>
        <w:pStyle w:val="ListParagraph"/>
        <w:numPr>
          <w:ilvl w:val="0"/>
          <w:numId w:val="2"/>
        </w:numPr>
        <w:spacing w:after="80"/>
      </w:pPr>
      <w:r>
        <w:rPr>
          <w:rFonts w:ascii="Arial" w:cs="Arial" w:eastAsia="Arial" w:hAnsi="Arial"/>
          <w:sz w:val="22"/>
          <w:szCs w:val="22"/>
        </w:rPr>
        <w:t xml:space="preserve">Nigeria is the systemic risk. A Nigerian ECOWAS exit would affect $12.25B in trade and fragment the network into 4 components. No other scenario comes close to this severity.</w:t>
      </w:r>
    </w:p>
    <w:p>
      <w:pPr>
        <w:pStyle w:val="ListParagraph"/>
        <w:numPr>
          <w:ilvl w:val="0"/>
          <w:numId w:val="2"/>
        </w:numPr>
        <w:spacing w:after="80"/>
      </w:pPr>
      <w:r>
        <w:rPr>
          <w:rFonts w:ascii="Arial" w:cs="Arial" w:eastAsia="Arial" w:hAnsi="Arial"/>
          <w:sz w:val="22"/>
          <w:szCs w:val="22"/>
        </w:rPr>
        <w:t xml:space="preserve">The Sahel suspension is already priced in. The Alliance of Sahel States multi-exit scenario (severity 0.218) is lower than Mali alone (0.224), suggesting the network has already adapted to their partial disconnection.</w:t>
      </w:r>
    </w:p>
    <w:p>
      <w:pPr>
        <w:pStyle w:val="ListParagraph"/>
        <w:numPr>
          <w:ilvl w:val="0"/>
          <w:numId w:val="2"/>
        </w:numPr>
        <w:spacing w:after="80"/>
      </w:pPr>
      <w:r>
        <w:rPr>
          <w:rFonts w:ascii="Arial" w:cs="Arial" w:eastAsia="Arial" w:hAnsi="Arial"/>
          <w:sz w:val="22"/>
          <w:szCs w:val="22"/>
        </w:rPr>
        <w:t xml:space="preserve">Kumasi and Nouakchott need alternative corridors. Both cities have a route risk of 0.600 with min-cut of only 2, making them highly vulnerable to single-point infrastructure failures.</w:t>
      </w:r>
    </w:p>
    <w:p>
      <w:pPr>
        <w:pStyle w:val="Heading2"/>
      </w:pPr>
      <w:r>
        <w:t xml:space="preserve">Next Steps</w:t>
      </w:r>
    </w:p>
    <w:p>
      <w:pPr>
        <w:pStyle w:val="ListParagraph"/>
        <w:numPr>
          <w:ilvl w:val="0"/>
          <w:numId w:val="2"/>
        </w:numPr>
        <w:spacing w:after="80"/>
      </w:pPr>
      <w:r>
        <w:rPr>
          <w:rFonts w:ascii="Arial" w:cs="Arial" w:eastAsia="Arial" w:hAnsi="Arial"/>
          <w:sz w:val="22"/>
          <w:szCs w:val="22"/>
        </w:rPr>
        <w:t xml:space="preserve">Deploy the GNN-TCN forecaster on historical quarterly data to validate predictive accuracy before using it for forward-looking scenario analysis.</w:t>
      </w:r>
    </w:p>
    <w:p>
      <w:pPr>
        <w:pStyle w:val="ListParagraph"/>
        <w:numPr>
          <w:ilvl w:val="0"/>
          <w:numId w:val="2"/>
        </w:numPr>
        <w:spacing w:after="80"/>
      </w:pPr>
      <w:r>
        <w:rPr>
          <w:rFonts w:ascii="Arial" w:cs="Arial" w:eastAsia="Arial" w:hAnsi="Arial"/>
          <w:sz w:val="22"/>
          <w:szCs w:val="22"/>
        </w:rPr>
        <w:t xml:space="preserve">Build out the visualisation layer (network maps, route overlays, cascade animations) to make findings presentable to external stakeholders.</w:t>
      </w:r>
    </w:p>
    <w:p>
      <w:pPr>
        <w:pStyle w:val="ListParagraph"/>
        <w:numPr>
          <w:ilvl w:val="0"/>
          <w:numId w:val="2"/>
        </w:numPr>
        <w:spacing w:after="80"/>
      </w:pPr>
      <w:r>
        <w:rPr>
          <w:rFonts w:ascii="Arial" w:cs="Arial" w:eastAsia="Arial" w:hAnsi="Arial"/>
          <w:sz w:val="22"/>
          <w:szCs w:val="22"/>
        </w:rPr>
        <w:t xml:space="preserve">Run the data collection pipeline against live APIs (World Bank, Comtrade, IMF) to replace seed data with current observations.</w:t>
      </w:r>
    </w:p>
    <w:p>
      <w:pPr>
        <w:pStyle w:val="ListParagraph"/>
        <w:numPr>
          <w:ilvl w:val="0"/>
          <w:numId w:val="2"/>
        </w:numPr>
        <w:spacing w:after="80"/>
      </w:pPr>
      <w:r>
        <w:rPr>
          <w:rFonts w:ascii="Arial" w:cs="Arial" w:eastAsia="Arial" w:hAnsi="Arial"/>
          <w:sz w:val="22"/>
          <w:szCs w:val="22"/>
        </w:rPr>
        <w:t xml:space="preserve">Integrate causal inference (dowhy/causal-learn) to move from correlational to causal trade impact estimates.</w:t>
      </w:r>
    </w:p>
    <w:p>
      <w:pPr>
        <w:spacing w:after="200"/>
      </w:pPr>
    </w:p>
    <w:p>
      <w:pPr>
        <w:pBdr>
          <w:top w:val="single" w:color="2E75B6" w:sz="4" w:space="1"/>
        </w:pBdr>
        <w:spacing w:before="400" w:after="100"/>
      </w:pPr>
    </w:p>
    <w:p>
      <w:pPr>
        <w:spacing w:after="120"/>
      </w:pPr>
      <w:r>
        <w:rPr>
          <w:rFonts w:ascii="Arial" w:cs="Arial" w:eastAsia="Arial" w:hAnsi="Arial"/>
          <w:i/>
          <w:iCs/>
          <w:color w:val="888888"/>
          <w:sz w:val="18"/>
          <w:szCs w:val="18"/>
        </w:rPr>
        <w:t xml:space="preserve">Report generated from analysis pipeline run on 21 February 2026. All scores, rankings, and simulations are based on seed network data (45 nodes, 175 edges) with economic state as of the last update cycle.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999999"/>
        <w:sz w:val="16"/>
        <w:szCs w:val="16"/>
      </w:rPr>
      <w:t xml:space="preserve">West Africa FTZ — Model Findings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2026-02-21T11:29:06.375Z</dcterms:created>
  <dcterms:modified xsi:type="dcterms:W3CDTF">2026-02-21T11:29:06.376Z</dcterms:modified>
</cp:coreProperties>
</file>

<file path=docProps/custom.xml><?xml version="1.0" encoding="utf-8"?>
<Properties xmlns="http://schemas.openxmlformats.org/officeDocument/2006/custom-properties" xmlns:vt="http://schemas.openxmlformats.org/officeDocument/2006/docPropsVTypes"/>
</file>