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CF" w:rsidRPr="00B133CF" w:rsidRDefault="00B133CF" w:rsidP="00B133CF">
      <w:pPr>
        <w:keepNext/>
        <w:shd w:val="clear" w:color="auto" w:fill="F2FFBF"/>
        <w:spacing w:before="240" w:after="240" w:line="240" w:lineRule="auto"/>
        <w:ind w:firstLine="567"/>
        <w:outlineLvl w:val="5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8 </w:t>
      </w:r>
      <w:r w:rsidRPr="00B133C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uk-UA" w:eastAsia="ru-RU"/>
        </w:rPr>
        <w:t>Науковий стиль</w:t>
      </w:r>
    </w:p>
    <w:p w:rsidR="00B133CF" w:rsidRPr="00B133CF" w:rsidRDefault="00B133CF" w:rsidP="00B133CF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B133CF">
        <w:rPr>
          <w:rFonts w:ascii="Verdana" w:eastAsia="Times New Roman" w:hAnsi="Verdana" w:cs="Times New Roman"/>
          <w:b/>
          <w:bCs/>
          <w:i/>
          <w:iCs/>
          <w:color w:val="000000"/>
          <w:sz w:val="27"/>
          <w:szCs w:val="27"/>
          <w:lang w:val="uk-UA" w:eastAsia="ru-RU"/>
        </w:rPr>
        <w:t>Науковий стиль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— функціональний різновид 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літе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softHyphen/>
        <w:t>ратурної мови,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 xml:space="preserve"> що використовується з 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пізна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вально-інформативною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 xml:space="preserve"> метою в галузі науки та освіти. Поняття наукового стилю об'єднує мову різних га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лузей науки. Спільною для суспільної, природничої, технічної, інших сфер уживання наукового стилю є орієнтація на 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книжну лексику,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на логічний виклад інформації, за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стосування класифікаційного підходу до опису наукових об'єктів, використання абстрактних понять, форму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лювання дефініцій (визначень).</w:t>
      </w:r>
    </w:p>
    <w:p w:rsidR="00B133CF" w:rsidRPr="00B133CF" w:rsidRDefault="00B133CF" w:rsidP="00B133CF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Головне призначення наукового стилю 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– систематизування, пізнання світу, служити для повідомлення про результати досліджень, доведення теорій, обґрунтування гіпотез, класифікацій, роз’яснення явищ, систематизація знань, виклади матеріалу, представлення наукових даних суспільству.</w:t>
      </w:r>
    </w:p>
    <w:p w:rsidR="00B133CF" w:rsidRPr="00B133CF" w:rsidRDefault="00B133CF" w:rsidP="00B133CF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33CF">
        <w:rPr>
          <w:rFonts w:ascii="Verdana" w:eastAsia="Times New Roman" w:hAnsi="Verdana" w:cs="Times New Roman"/>
          <w:color w:val="000000"/>
          <w:spacing w:val="20"/>
          <w:sz w:val="27"/>
          <w:szCs w:val="27"/>
          <w:lang w:val="uk-UA" w:eastAsia="ru-RU"/>
        </w:rPr>
        <w:t>Характерні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ознаки наукового стилю в 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лексиці —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наявність 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термінології,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використання загальновживаних слів тіль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ки в одному з кількох притаманних їм у мові узагальненому значенні, тобто функціональна однозначність слова; в 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морфології—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узагальнене зна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чення граматичної форми однини іменників, за якою стоїть не окремий предмет, а поняття про клас предметів; позачасове значення форм дієслова, зо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крема теперішній час постійної дії, абстрактний теперішній час або 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абстрактиний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майбутній час; у 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словотворенні —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стильова виз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наченість абстрактних іменників з суфіксами </w:t>
      </w:r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-</w:t>
      </w:r>
      <w:proofErr w:type="spellStart"/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ість</w:t>
      </w:r>
      <w:proofErr w:type="spellEnd"/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, -</w:t>
      </w:r>
      <w:proofErr w:type="spellStart"/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ств</w:t>
      </w:r>
      <w:proofErr w:type="spellEnd"/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(о), -от(а), -</w:t>
      </w:r>
      <w:proofErr w:type="spellStart"/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аці</w:t>
      </w:r>
      <w:proofErr w:type="spellEnd"/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(я),-</w:t>
      </w:r>
      <w:proofErr w:type="spellStart"/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изм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та ін.; у 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синтакси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softHyphen/>
        <w:t>сі —-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використання іменників у дієслівній функції як іменних частин складеного присудка.</w:t>
      </w:r>
    </w:p>
    <w:p w:rsidR="00B133CF" w:rsidRPr="00B133CF" w:rsidRDefault="00B133CF" w:rsidP="00B133CF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Для наукового стилю </w:t>
      </w:r>
      <w:r w:rsidRPr="00B133CF">
        <w:rPr>
          <w:rFonts w:ascii="Verdana" w:eastAsia="Times New Roman" w:hAnsi="Verdana" w:cs="Times New Roman"/>
          <w:color w:val="000000"/>
          <w:spacing w:val="20"/>
          <w:sz w:val="27"/>
          <w:szCs w:val="27"/>
          <w:lang w:val="uk-UA" w:eastAsia="ru-RU"/>
        </w:rPr>
        <w:t>показове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оформлення 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тексту —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члену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вання на розділи, підрозділи, параграфи і под., введення формул, діаграм тощо.</w:t>
      </w:r>
    </w:p>
    <w:p w:rsidR="00B133CF" w:rsidRPr="00B133CF" w:rsidRDefault="00B133CF" w:rsidP="00B133CF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Лексичні, граматичні, текстові одиниці наукового стилю підпорядковані загальному спрямуванню стилю на </w:t>
      </w:r>
      <w:r w:rsidRPr="00B133CF">
        <w:rPr>
          <w:rFonts w:ascii="Verdana" w:eastAsia="Times New Roman" w:hAnsi="Verdana" w:cs="Times New Roman"/>
          <w:color w:val="000000"/>
          <w:spacing w:val="20"/>
          <w:sz w:val="27"/>
          <w:szCs w:val="27"/>
          <w:lang w:val="uk-UA" w:eastAsia="ru-RU"/>
        </w:rPr>
        <w:t>точність, логічність, узагальненість, аргументацію вис</w:t>
      </w:r>
      <w:r w:rsidRPr="00B133CF">
        <w:rPr>
          <w:rFonts w:ascii="Verdana" w:eastAsia="Times New Roman" w:hAnsi="Verdana" w:cs="Times New Roman"/>
          <w:color w:val="000000"/>
          <w:spacing w:val="20"/>
          <w:sz w:val="27"/>
          <w:szCs w:val="27"/>
          <w:lang w:val="uk-UA" w:eastAsia="ru-RU"/>
        </w:rPr>
        <w:softHyphen/>
        <w:t>ловлених положень. 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Мовне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 xml:space="preserve"> оформлення наукового викладу видозмінюється залежно від жанру твору (монографія, стаття, посібник та ін.), сту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пеня популярності викладу, насиченості тексту загальнонауковою і спеціальною термінологією.</w:t>
      </w:r>
    </w:p>
    <w:p w:rsidR="00B133CF" w:rsidRPr="00B133CF" w:rsidRDefault="00B133CF" w:rsidP="00B133CF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lastRenderedPageBreak/>
        <w:t>Звичайно розрізняють </w:t>
      </w:r>
      <w:r w:rsidRPr="00B133CF">
        <w:rPr>
          <w:rFonts w:ascii="Verdana" w:eastAsia="Times New Roman" w:hAnsi="Verdana" w:cs="Times New Roman"/>
          <w:color w:val="000000"/>
          <w:spacing w:val="20"/>
          <w:sz w:val="27"/>
          <w:szCs w:val="27"/>
          <w:lang w:val="uk-UA" w:eastAsia="ru-RU"/>
        </w:rPr>
        <w:t>власне науковий стиль та науково-популярний і науково-навчальний </w:t>
      </w:r>
      <w:proofErr w:type="spellStart"/>
      <w:r w:rsidRPr="00B133CF">
        <w:rPr>
          <w:rFonts w:ascii="Verdana" w:eastAsia="Times New Roman" w:hAnsi="Verdana" w:cs="Times New Roman"/>
          <w:color w:val="000000"/>
          <w:spacing w:val="20"/>
          <w:sz w:val="27"/>
          <w:szCs w:val="27"/>
          <w:lang w:val="uk-UA" w:eastAsia="ru-RU"/>
        </w:rPr>
        <w:t>підстилі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або жанри, для кожного з яких характерне неоднакове співвід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ношення спеціальної, книжної і загальновживаної нейт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ральної лексики, свої прийоми логічної аргумен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тації, доведення тощо. Специфіка терміносистем у кожній галузі знань спричиняється до створення спец. мов, зрозумілих фахівцям тіль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ки певної галузі. У зв'язку з цим науковий стиль часом звинувачують у надмірній книжності, штучнос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ті, вважають його вигаданим жаргоном, дале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ким від природної мови спілкування. </w:t>
      </w:r>
    </w:p>
    <w:p w:rsidR="00B133CF" w:rsidRPr="00B133CF" w:rsidRDefault="00B133CF" w:rsidP="00B133CF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Науковий стиль у сучасному його розумінні (формування окремих терміносистем відповідно до різних галузей знань) починається з 19 ст., з популярних публікацій у журналі «Основа» (1861—62) та брошур товариства «Просвіта», виданих у Львові 1868. Свідома, цілеспрямована праця над створенням української термінології розпо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чалася тоді, коли були засновані Наукове товарист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во імені Шевченка у Львові (1893) та Українське на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 xml:space="preserve">укове товариство у Києві (1907). Науковий стиль розвивали своєю 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мовною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 xml:space="preserve"> практикою такі вчені, як І. Франко, М. Драгоманов, С. Подолинський, К. Михальчук, М. Грушевський, А. Кримський, В. Гнатюк, І. 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Верхратський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, І. 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Свєнціцький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, М.</w:t>
      </w:r>
      <w:r w:rsidRPr="00B133C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 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Сумцов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та ін.</w:t>
      </w:r>
    </w:p>
    <w:p w:rsidR="00B133CF" w:rsidRPr="00B133CF" w:rsidRDefault="00B133CF" w:rsidP="00B133CF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Україномовна наука, а отже, й науковий стиль української літературної мови набули активного розвитку 1917—20. Тоді вийшло близько 60 граматик української мови, у той час як у наступні 1920—24 — тільки 13. Слов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ників було видано відповідно 45 і 15. Інститут української наукової мови (з 1921) видавав перекладні загальні й термінологічні словники. Цей період характеризується помітними пуристичними тенденціями. (</w:t>
      </w:r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Пуризм – крайній вияв турботи про чистоту літературної мови, культуру мови, орієнтація на встановлення суворих правил дотримання літературних норм, оберігання мови від впливу іншомовних запозичень, очищення її від нелітературних явищ, напр. : конус – стіжок, екватор – </w:t>
      </w:r>
      <w:proofErr w:type="spellStart"/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рівник</w:t>
      </w:r>
      <w:proofErr w:type="spellEnd"/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, маятник – </w:t>
      </w:r>
      <w:proofErr w:type="spellStart"/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хитун</w:t>
      </w:r>
      <w:proofErr w:type="spellEnd"/>
      <w:r w:rsidRPr="00B133C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, фільтр – цідило)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у галузі створення української термінології. Кожне нове 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укрвїнське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відродження (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поч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. 20 ст.; 20-і, 50—60-і та 80—90-і рр. 20 ст.) супроводжувало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ся особливою увагою до наукового стилю, до </w:t>
      </w:r>
      <w:proofErr w:type="spellStart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віднайдення</w:t>
      </w:r>
      <w:proofErr w:type="spellEnd"/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розумного співвідношення між термінологією інтернаціональною та створеною на основі пи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томої української лексики. Функціонування повно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 xml:space="preserve">правного наукового стилю сучасно української літературно мови стримується 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lastRenderedPageBreak/>
        <w:t>становищем української мови у вузах, установах, від</w:t>
      </w:r>
      <w:r w:rsidRPr="00B133CF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сутністю україномовних підручників і посібників для всіх спеціальностей.</w:t>
      </w:r>
    </w:p>
    <w:p w:rsidR="007A4907" w:rsidRDefault="007A4907">
      <w:pPr>
        <w:rPr>
          <w:lang w:val="uk-UA"/>
        </w:rPr>
      </w:pPr>
    </w:p>
    <w:p w:rsidR="00B133CF" w:rsidRPr="00B133CF" w:rsidRDefault="00B133CF" w:rsidP="00B133CF">
      <w:pPr>
        <w:shd w:val="clear" w:color="auto" w:fill="F7F7F9"/>
        <w:spacing w:after="0" w:line="270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Науковий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стиль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складається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трьох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підстилів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133CF" w:rsidRPr="00B133CF" w:rsidRDefault="00B133CF" w:rsidP="00B133CF">
      <w:pPr>
        <w:shd w:val="clear" w:color="auto" w:fill="F7F7F9"/>
        <w:spacing w:after="0" w:line="270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1)        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власне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науковий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який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реалізується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таких жанрах: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стаття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монографія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дисертація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тези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доповідь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виступ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gram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па-тент</w:t>
      </w:r>
      <w:proofErr w:type="gram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енциклопедія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термінологічний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словник,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довідник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технічне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завдання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тощо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B133CF" w:rsidRPr="00B133CF" w:rsidRDefault="00B133CF" w:rsidP="00B133CF">
      <w:pPr>
        <w:shd w:val="clear" w:color="auto" w:fill="F7F7F9"/>
        <w:spacing w:after="0" w:line="270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2)        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навчально-науковий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що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має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такі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жанри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: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лекція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бе-сіда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семінар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лабораторна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робота,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курсовий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проект, бака-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лаврський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проект,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дипломна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робота,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пояснювальна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запис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-ка</w:t>
      </w:r>
      <w:proofErr w:type="gram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анотація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план, конспект,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тези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реферат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тощо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133CF" w:rsidRDefault="00B133CF" w:rsidP="00B133CF">
      <w:pPr>
        <w:shd w:val="clear" w:color="auto" w:fill="F7F7F9"/>
        <w:spacing w:after="0" w:line="270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3)        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науково-популярний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яким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викладається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наукова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ін-формація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нефахівців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сторінках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звичайних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книжок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і </w:t>
      </w:r>
      <w:proofErr w:type="spellStart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журналів</w:t>
      </w:r>
      <w:proofErr w:type="spellEnd"/>
      <w:r w:rsidRPr="00B133C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133CF" w:rsidRDefault="00B133CF" w:rsidP="00B133CF">
      <w:pPr>
        <w:shd w:val="clear" w:color="auto" w:fill="F7F7F9"/>
        <w:spacing w:after="0" w:line="270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b/>
          <w:bCs/>
          <w:color w:val="666666"/>
          <w:sz w:val="17"/>
          <w:szCs w:val="17"/>
        </w:rPr>
        <w:t>Основні</w:t>
      </w:r>
      <w:proofErr w:type="spellEnd"/>
      <w:r>
        <w:rPr>
          <w:rFonts w:ascii="Arial" w:hAnsi="Arial" w:cs="Arial"/>
          <w:b/>
          <w:bCs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17"/>
          <w:szCs w:val="17"/>
        </w:rPr>
        <w:t>жанри</w:t>
      </w:r>
      <w:proofErr w:type="spellEnd"/>
      <w:r>
        <w:rPr>
          <w:rFonts w:ascii="Arial" w:hAnsi="Arial" w:cs="Arial"/>
          <w:b/>
          <w:bCs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17"/>
          <w:szCs w:val="17"/>
        </w:rPr>
        <w:t>наукового</w:t>
      </w:r>
      <w:proofErr w:type="spellEnd"/>
      <w:r>
        <w:rPr>
          <w:rFonts w:ascii="Arial" w:hAnsi="Arial" w:cs="Arial"/>
          <w:b/>
          <w:bCs/>
          <w:color w:val="666666"/>
          <w:sz w:val="17"/>
          <w:szCs w:val="17"/>
        </w:rPr>
        <w:t xml:space="preserve"> стилю.</w:t>
      </w:r>
      <w:r>
        <w:rPr>
          <w:rStyle w:val="apple-converted-space"/>
          <w:rFonts w:ascii="Arial" w:hAnsi="Arial" w:cs="Arial"/>
          <w:b/>
          <w:b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До них належать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монографія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стаття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реферат,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анотація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дисертація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тези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підручники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посібники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ін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Монографія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праця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(книга),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якій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досліджується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одна проблема,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обмежене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коло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питань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Монографія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передбачає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опрацювання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великої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кількості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фактичного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переконливих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висновків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Автор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монографії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пропонує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власну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гіпотезу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концепцію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розв'язання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важливої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монографії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обов'язково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бути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теоретичні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розділи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література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Стаття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– невеликого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розміру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праця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присвячена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певній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темі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розрахована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фахівців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які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обізнані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темі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Друкують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статті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фахових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часописах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або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збірниках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праць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статті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бувають</w:t>
      </w:r>
      <w:proofErr w:type="spellEnd"/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повідомлювальні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>(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інформують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про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нові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результати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>),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оглядові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>(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аналіз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подій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явищ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тощо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зіставлення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їх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виявлення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найважливіших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напрямів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розвитку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науки),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аналітичні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>(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всебічний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аналіз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досить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репрезентативних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фактів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який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виводить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розв'язання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проблеми</w:t>
      </w:r>
      <w:proofErr w:type="spellEnd"/>
      <w:proofErr w:type="gramStart"/>
      <w:r>
        <w:rPr>
          <w:rFonts w:ascii="Arial" w:hAnsi="Arial" w:cs="Arial"/>
          <w:color w:val="666666"/>
          <w:sz w:val="17"/>
          <w:szCs w:val="17"/>
        </w:rPr>
        <w:t>),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дискусійні</w:t>
      </w:r>
      <w:proofErr w:type="spellEnd"/>
      <w:proofErr w:type="gram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(про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спірні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питання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>).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i/>
          <w:iCs/>
          <w:color w:val="666666"/>
          <w:sz w:val="17"/>
          <w:szCs w:val="17"/>
        </w:rPr>
        <w:t>Реферат</w:t>
      </w:r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це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короткий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виклад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великого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(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наприклад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автореферат 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виклад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основного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дисертації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)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або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кількох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праць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якоїсь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процесі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його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підготовки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необхідно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опрацювати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одне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кілька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джерел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вибрати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найцікавіші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положення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найяскравіші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приклади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Анотація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стисла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характеристика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погляду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призначення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Дисертація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праця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підготовлена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для прилюдного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захисту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здобуття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вченого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ступеня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дисертаційних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відкривають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нові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напрями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науці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започатковують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невідомі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підходи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до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розв'язання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складної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вивчають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ще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невідоме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або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з'ясовують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питання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які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забезпечують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подальше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просування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цій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галузі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Дисертація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визначені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розмір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чітку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структуру,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стандартні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композиційно-мовленнєві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форми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які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бути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наповнені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оригінальним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змістом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Наприклад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мовні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формули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–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актуальність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 теми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зумовлюється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…;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наукова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 новизна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полягає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…;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аналіз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дає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підстави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зробити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висновок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що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>…</w:t>
      </w:r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продовжуються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підтверджуються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мовними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конструкціями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що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містять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конкретний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Тези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є одним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із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найстійкіших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жанрів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Вони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суворо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нормативну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змістово-композиційну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структуру,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якій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виділяються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: преамбула,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основне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теоретичне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положення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завершальна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теза (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висновок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).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Чітке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логічне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членування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тез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підкреслюється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рубрикацією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а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деяких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випадках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–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виділенням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абзаців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однією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рубрикою.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За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змістом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тези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поділяють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три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типи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>: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1.      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Тези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визначення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(короткий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вступ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про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актуальність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теми;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огляд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існуючих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поглядів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проблему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опис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ситуації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предметній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галузі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окремі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власні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думки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цю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тему;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передбачувані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напрями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висновок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>).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2.      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Тези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що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висвітлюють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результати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br/>
        <w:t>(</w:t>
      </w:r>
      <w:proofErr w:type="gramEnd"/>
      <w:r>
        <w:rPr>
          <w:rFonts w:ascii="Arial" w:hAnsi="Arial" w:cs="Arial"/>
          <w:color w:val="666666"/>
          <w:sz w:val="17"/>
          <w:szCs w:val="17"/>
        </w:rPr>
        <w:t xml:space="preserve">короткий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вступ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як постановка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гіпотеза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(у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випадку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експериментального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);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перелік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застосованих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методів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параметри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вибірки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власне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результати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інтерпретація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>).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3.      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Тези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що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репрезентують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нову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методику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(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вступ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що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описує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сферу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застосування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методики;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опис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існуючих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методик;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опис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результатів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застосування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методику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оцінювання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ефективності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>).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color w:val="666666"/>
          <w:sz w:val="17"/>
          <w:szCs w:val="17"/>
        </w:rPr>
        <w:t>Мовностилістичне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оформлення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тез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також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відповідати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нормам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стилю.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Це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зокрема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висока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насиченість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висловлювання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предметно-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логічним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змістом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термінами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абстрактними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словами, абсолютна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недопустимість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емоційно-експресивних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означень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метафор,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інверсій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тощо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Тези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повинні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характер модально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стверджувального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lastRenderedPageBreak/>
        <w:t>судження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висновку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>, а не конкретно-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фактологічної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констатації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Твердження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666666"/>
          <w:sz w:val="17"/>
          <w:szCs w:val="17"/>
        </w:rPr>
        <w:t>у тезах</w:t>
      </w:r>
      <w:proofErr w:type="gram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бути короткими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місткими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обґрунтованим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Підручник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посібник</w:t>
      </w:r>
      <w:proofErr w:type="spellEnd"/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r>
        <w:rPr>
          <w:rFonts w:ascii="Arial" w:hAnsi="Arial" w:cs="Arial"/>
          <w:color w:val="666666"/>
          <w:sz w:val="17"/>
          <w:szCs w:val="17"/>
        </w:rPr>
        <w:t xml:space="preserve">як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жанри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науково-навчального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підстилю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багато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спільного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відмінного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текстотворенні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До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спільних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ознак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належать: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об'єктивність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викладеного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відповідність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його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навчальній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програмі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наступність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перспективність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процесі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розгортання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навчального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курсу,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доступність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подавання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спрямована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активізацію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мислення</w:t>
      </w:r>
      <w:proofErr w:type="spellEnd"/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Fonts w:ascii="Arial" w:hAnsi="Arial" w:cs="Arial"/>
          <w:i/>
          <w:iCs/>
          <w:color w:val="666666"/>
          <w:sz w:val="17"/>
          <w:szCs w:val="17"/>
        </w:rPr>
        <w:t>учнів</w:t>
      </w:r>
      <w:proofErr w:type="spellEnd"/>
      <w:r>
        <w:rPr>
          <w:rFonts w:ascii="Arial" w:hAnsi="Arial" w:cs="Arial"/>
          <w:i/>
          <w:iCs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i/>
          <w:iCs/>
          <w:color w:val="666666"/>
          <w:sz w:val="17"/>
          <w:szCs w:val="17"/>
        </w:rPr>
        <w:t> 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студентів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поступове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послідовне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введення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термінологічної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лексики;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суворе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дотримання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норм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української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літературної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мови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культура й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естетика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мовлення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color w:val="666666"/>
          <w:sz w:val="17"/>
          <w:szCs w:val="17"/>
        </w:rPr>
        <w:t>Відмінність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підручника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навчального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посібника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стосується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способів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додавання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мовного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викладу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Підручник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містить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весь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обов'язковий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навчального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курсу.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Навчальний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посібник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може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розглядати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не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всі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розділи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теми,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що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на думку автора,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потребують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особливої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уваги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або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містити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ширший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ніж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передбачає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програма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Часто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навчальний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посібник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є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першою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спробою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підручника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наступних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виданнях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трансформується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нього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Pr="00B133CF" w:rsidRDefault="00B133CF" w:rsidP="00B133CF">
      <w:pPr>
        <w:pStyle w:val="a3"/>
        <w:spacing w:line="198" w:lineRule="atLeast"/>
        <w:rPr>
          <w:rFonts w:ascii="Arial" w:hAnsi="Arial" w:cs="Arial"/>
          <w:color w:val="FF0000"/>
          <w:sz w:val="17"/>
          <w:szCs w:val="17"/>
        </w:rPr>
      </w:pPr>
      <w:proofErr w:type="spellStart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>Існують</w:t>
      </w:r>
      <w:proofErr w:type="spellEnd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 xml:space="preserve"> </w:t>
      </w:r>
      <w:proofErr w:type="spellStart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>також</w:t>
      </w:r>
      <w:proofErr w:type="spellEnd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 xml:space="preserve"> </w:t>
      </w:r>
      <w:proofErr w:type="spellStart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>студентські</w:t>
      </w:r>
      <w:proofErr w:type="spellEnd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 xml:space="preserve"> </w:t>
      </w:r>
      <w:proofErr w:type="spellStart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>наукові</w:t>
      </w:r>
      <w:proofErr w:type="spellEnd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 xml:space="preserve"> </w:t>
      </w:r>
      <w:proofErr w:type="spellStart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>жанри</w:t>
      </w:r>
      <w:proofErr w:type="spellEnd"/>
      <w:r w:rsidRPr="00B133CF">
        <w:rPr>
          <w:rFonts w:ascii="Arial" w:hAnsi="Arial" w:cs="Arial"/>
          <w:color w:val="FF0000"/>
          <w:sz w:val="17"/>
          <w:szCs w:val="17"/>
          <w:highlight w:val="yellow"/>
        </w:rPr>
        <w:t>.</w:t>
      </w:r>
      <w:bookmarkStart w:id="0" w:name="_GoBack"/>
      <w:bookmarkEnd w:id="0"/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1. Реферат – короткий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виклад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за одним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кількома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джерелами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2.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Курсова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робота – невелика за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обсягом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дослідницька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робота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із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значною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реферативною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частиною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3.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Дипломна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робота 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кваліфікаційна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науково-дослідницька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робота студента, яка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готується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метою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публічного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захисту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й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отримання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освітньо-кваліфікаційного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ступеня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«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спеціаліст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».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Виконання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дипломної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її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захист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перед державною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екзаменаційною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комісією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є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перевіркою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підготовки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фахівця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до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самостійної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діяльності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обраної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спеціальності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його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здатності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самостійно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аналізувати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стан проблем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певній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галузі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науки,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розробляти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необхідні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пропозиції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color w:val="666666"/>
          <w:sz w:val="17"/>
          <w:szCs w:val="17"/>
        </w:rPr>
        <w:t>Дипломна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робота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відповідати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таким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вимогам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>: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— бути актуальною,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новизну,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виконуватись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рівні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сучасних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досягнень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науки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техніки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>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— бути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спрямованою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вирішення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практичних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завдань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майбутньої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діяльності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>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—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стимулювати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студентів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творчий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пошук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нових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пріоритетних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рішень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>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—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містити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огляд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методичних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праць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пов'язаних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темою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>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—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пропонувати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оптимальні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рішення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основі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застосування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математичних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методів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моделювання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використанням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сучасних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засобів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обчислювальної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техніки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>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—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виконуватися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руслі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керівника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кафедри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інших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підрозділів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закладу;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узагальнювати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розвивати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науково-дослідницькі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вміння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студента;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свідчити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про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коректне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ставлення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студента до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використання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результатів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аналізу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опублікованих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інших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авторів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тобто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містити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посилання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використані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джерела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із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вказівкою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прізвища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й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ініціалів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автора,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назви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праці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видавництва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місця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року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видання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сторінки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Дипломні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без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посилань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джерела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використаного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до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захисту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не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допускаються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До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змістової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частини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дипломної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ставляться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такі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вимоги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>: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—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чітка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характеристика предмета,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об'єкта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мети,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завдань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методів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логічна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побудова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викладеного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опис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аналіз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проведених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автором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експериментів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>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—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аналіз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монографічної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періодичної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літератури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теми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>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–      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вивчення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характеристика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історії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досліджуваної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проблеми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окремих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питань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практичного стану, 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також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передового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досвіду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>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—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повнота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розкриття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теми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>;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—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узагальнення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результатів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обґрунтування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висновків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практичних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рекомендацій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color w:val="666666"/>
          <w:sz w:val="17"/>
          <w:szCs w:val="17"/>
        </w:rPr>
        <w:lastRenderedPageBreak/>
        <w:t>Обсяг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дипломної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становить 50–100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сторінок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комп'ютерного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набору.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її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структура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передбачає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наявність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титульного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аркуша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вступу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теоретичної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частини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практичної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висновків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списку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використаних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джерел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додатків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Текст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бути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поділений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окремі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розділи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підрозділи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4.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Магістерська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робота –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це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кваліфікаційна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науково-дослідницька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робота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випускника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яка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готується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метою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публічного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захисту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отримання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освітньо-кваліфікаційного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ступеня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«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магістр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».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її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автор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покликаний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продемонструвати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рівень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своєї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кваліфікації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уміння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самостійно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вести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пошук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вирішувати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конкретні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завдання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Магістерська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робота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узагальнювальний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характер,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оскільки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є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своєрідним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підсумком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підготовки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магістра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Водночас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це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самостійне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оригінальне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дослідження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студента,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результати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якого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теоретичне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практичне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значення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процесі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написання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магістерської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студент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упорядковує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власний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розсуд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накопичені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факти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та доводить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їх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цінність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або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практичну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значущість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Форма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викладу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характеризується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певним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ступенем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абстрагування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активним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застосуванням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математичного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апарату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засобів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логічного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мислення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комп'ютерних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методик 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математичної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статистики.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color w:val="666666"/>
          <w:sz w:val="17"/>
          <w:szCs w:val="17"/>
        </w:rPr>
        <w:t>Усі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судження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наведені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у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дані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бути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аргументованими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точними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Орієнтуючись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читачів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високою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професійною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підготовкою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автор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залучає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свій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текст увесь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знаковий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апарат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(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таблиці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формули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символи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діаграми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схеми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графіки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тощо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),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тобто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все те,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що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складає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мову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науки. Структура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магістерської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аналогічна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дипломній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включає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: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титульний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аркуш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зміст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вступ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розділи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підрозділи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основної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частини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висновки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список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використаних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джерел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додатки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color w:val="666666"/>
          <w:sz w:val="17"/>
          <w:szCs w:val="17"/>
        </w:rPr>
        <w:t>Наповнення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кожної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частини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магістерської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визначається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темою.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Вибір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теми,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етапи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підготовки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пошук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бібліографічних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джерел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вивчення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їх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добір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фактичного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матеріалу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методика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написання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правила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оформлення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магістерської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та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її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захист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мають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багато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спільного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з дипломною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роботою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студента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кандидатською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дисертацією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здобувача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ступеня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. Тому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процесі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її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підготовки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слід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застосувати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методичні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і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технічні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прийоми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підготовки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праці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>.</w:t>
      </w:r>
    </w:p>
    <w:p w:rsidR="00B133CF" w:rsidRDefault="00B133CF" w:rsidP="00B133CF">
      <w:pPr>
        <w:pStyle w:val="a3"/>
        <w:spacing w:line="198" w:lineRule="atLeast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color w:val="666666"/>
          <w:sz w:val="17"/>
          <w:szCs w:val="17"/>
        </w:rPr>
        <w:t>Отже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в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науковому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стилі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діють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суворі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стильові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норми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порушення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яких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свідчить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про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низький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рівень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мовно-наукової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культури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автора.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Щоб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уникнути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цього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необхідно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дотримуватися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всіх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основних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вимог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стилю і конкретного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його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жанру.</w:t>
      </w:r>
    </w:p>
    <w:p w:rsidR="00B133CF" w:rsidRPr="00B133CF" w:rsidRDefault="00B133CF" w:rsidP="00B133CF">
      <w:pPr>
        <w:shd w:val="clear" w:color="auto" w:fill="F7F7F9"/>
        <w:spacing w:after="0" w:line="270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133CF" w:rsidRDefault="00B133CF"/>
    <w:p w:rsidR="00B133CF" w:rsidRPr="00B133CF" w:rsidRDefault="00B133CF"/>
    <w:sectPr w:rsidR="00B133CF" w:rsidRPr="00B13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CF"/>
    <w:rsid w:val="007A4907"/>
    <w:rsid w:val="00B1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2CCED-51A6-4B35-AF27-C6B05740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B133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133C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B133CF"/>
  </w:style>
  <w:style w:type="character" w:customStyle="1" w:styleId="spelle">
    <w:name w:val="spelle"/>
    <w:basedOn w:val="a0"/>
    <w:rsid w:val="00B133CF"/>
  </w:style>
  <w:style w:type="paragraph" w:styleId="a3">
    <w:name w:val="Normal (Web)"/>
    <w:basedOn w:val="a"/>
    <w:uiPriority w:val="99"/>
    <w:semiHidden/>
    <w:unhideWhenUsed/>
    <w:rsid w:val="00B1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2125</Words>
  <Characters>12113</Characters>
  <Application>Microsoft Office Word</Application>
  <DocSecurity>0</DocSecurity>
  <Lines>100</Lines>
  <Paragraphs>28</Paragraphs>
  <ScaleCrop>false</ScaleCrop>
  <Company>Megasoftware GrouP™</Company>
  <LinksUpToDate>false</LinksUpToDate>
  <CharactersWithSpaces>14210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2015-12-13T17:41:00Z</dcterms:created>
  <dcterms:modified xsi:type="dcterms:W3CDTF">2015-12-13T17:48:00Z</dcterms:modified>
</cp:coreProperties>
</file>