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0"/>
        <w:jc w:val="center"/>
      </w:pPr>
      <w:r>
        <w:rPr>
          <w:rFonts w:ascii="Inter" w:hAnsi="Inter" w:eastAsia="Inter" w:cs="Inter"/>
          <w:b/>
          <w:color w:val="111318"/>
          <w:sz w:val="36"/>
        </w:rPr>
        <w:t>COMPREHENSIVE PRICE SHEET</w:t>
      </w:r>
    </w:p>
    <w:p>
      <w:r>
        <w:rPr>
          <w:rFonts w:ascii="Inter" w:hAnsi="Inter" w:eastAsia="Inter" w:cs="Inter"/>
          <w:b/>
        </w:rPr>
        <w:t>Version:</w:t>
      </w:r>
      <w:r>
        <w:rPr>
          <w:rFonts w:ascii="Inter" w:hAnsi="Inter" w:eastAsia="Inter" w:cs="Inter"/>
        </w:rPr>
        <w:t xml:space="preserve"> August 2026</w:t>
      </w:r>
    </w:p>
    <w:p>
      <w:r>
        <w:rPr>
          <w:rFonts w:ascii="Inter" w:hAnsi="Inter" w:eastAsia="Inter" w:cs="Inter"/>
        </w:rPr>
        <w:t>USATII MEDIA is software-first. We build operations and marketing platforms to unify and scale rote work. We talk the talk: our marketing arm delivers real deliverables for clients. For example, we helped Tim Wijaya amass 10,000 followers in 2 months, with over 500,000 views.</w:t>
      </w:r>
    </w:p>
    <w:p>
      <w:r>
        <w:rPr>
          <w:rFonts w:ascii="Inter" w:hAnsi="Inter" w:eastAsia="Inter" w:cs="Inter"/>
        </w:rPr>
        <w:t>Our pipeline is simple:</w:t>
      </w:r>
    </w:p>
    <w:p>
      <w:pPr>
        <w:spacing w:after="44"/>
        <w:ind w:left="374" w:hanging="374"/>
      </w:pPr>
      <w:r>
        <w:rPr>
          <w:rFonts w:ascii="Inter" w:hAnsi="Inter" w:eastAsia="Inter" w:cs="Inter"/>
        </w:rPr>
        <w:t>1.  Identify the company/founder's workflow, including all rote work</w:t>
      </w:r>
    </w:p>
    <w:p>
      <w:pPr>
        <w:spacing w:after="44"/>
        <w:ind w:left="374" w:hanging="374"/>
      </w:pPr>
      <w:r>
        <w:rPr>
          <w:rFonts w:ascii="Inter" w:hAnsi="Inter" w:eastAsia="Inter" w:cs="Inter"/>
        </w:rPr>
        <w:t>2.  Build a software system to automate the pipeline while delegating all manual verification work to the right human.</w:t>
      </w:r>
    </w:p>
    <w:p>
      <w:pPr>
        <w:spacing w:after="44"/>
        <w:ind w:left="374" w:hanging="374"/>
      </w:pPr>
      <w:r>
        <w:rPr>
          <w:rFonts w:ascii="Inter" w:hAnsi="Inter" w:eastAsia="Inter" w:cs="Inter"/>
        </w:rPr>
        <w:t>3.  Use LLMs in places where robustness matters, but a human is unnecessary.</w:t>
      </w:r>
    </w:p>
    <w:p>
      <w:pPr>
        <w:spacing w:after="44"/>
        <w:ind w:left="374" w:hanging="374"/>
      </w:pPr>
      <w:r>
        <w:rPr>
          <w:rFonts w:ascii="Inter" w:hAnsi="Inter" w:eastAsia="Inter" w:cs="Inter"/>
        </w:rPr>
        <w:t>4.  Use the pipeline to deliver real results, particularly within marketing (leads, conversion, etc.) or operations (revenue, etc.).</w:t>
      </w:r>
    </w:p>
    <w:p>
      <w:r>
        <w:rPr>
          <w:rFonts w:ascii="Inter" w:hAnsi="Inter" w:eastAsia="Inter" w:cs="Inter"/>
        </w:rPr>
        <w:t>Our commercial model:</w:t>
      </w:r>
    </w:p>
    <w:p>
      <w:pPr>
        <w:spacing w:after="44"/>
        <w:ind w:left="374" w:hanging="374"/>
      </w:pPr>
      <w:r>
        <w:rPr>
          <w:rFonts w:ascii="Inter" w:hAnsi="Inter" w:eastAsia="Inter" w:cs="Inter"/>
        </w:rPr>
        <w:t>1.  Build the asset or system.</w:t>
      </w:r>
    </w:p>
    <w:p>
      <w:pPr>
        <w:spacing w:after="44"/>
        <w:ind w:left="374" w:hanging="374"/>
      </w:pPr>
      <w:r>
        <w:rPr>
          <w:rFonts w:ascii="Inter" w:hAnsi="Inter" w:eastAsia="Inter" w:cs="Inter"/>
        </w:rPr>
        <w:t>2.  Adapt it to the channels or workflows where it will operate.</w:t>
      </w:r>
    </w:p>
    <w:p>
      <w:pPr>
        <w:spacing w:after="44"/>
        <w:ind w:left="374" w:hanging="374"/>
      </w:pPr>
      <w:r>
        <w:rPr>
          <w:rFonts w:ascii="Inter" w:hAnsi="Inter" w:eastAsia="Inter" w:cs="Inter"/>
        </w:rPr>
        <w:t>3.  Run the workflow for the client when managed service is requested.</w:t>
      </w:r>
    </w:p>
    <w:p>
      <w:pPr>
        <w:spacing w:after="44"/>
        <w:ind w:left="374" w:hanging="374"/>
      </w:pPr>
      <w:r>
        <w:rPr>
          <w:rFonts w:ascii="Inter" w:hAnsi="Inter" w:eastAsia="Inter" w:cs="Inter"/>
        </w:rPr>
        <w:t>5.  Transfer more of the operation in-house when the client wants to own the execution.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10512"/>
            <w:gridSpan w:val="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Pricing Rules</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Fixed-price deliverables and systems are priced by scope. $45/hour is the standard open-ended development, maintenance, integration, and change-request rate for software.</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Volume pricing applies only to the stated package.</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Cross-platform work is additive because one master asset can require different copy, crops, metadata, UI treatment, scheduling, QA, and analytics on each channel.</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Perpetual software licensing is separate from Usatii's managed-service labor.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Third-party expenses such as LLMs are handled by the client unless a proposal explicitly includes them.</w:t>
            </w:r>
          </w:p>
        </w:tc>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One standard revision round is included on fixed creative deliverables unless otherwise scoped. Additional revisions are billed at $45/hour.</w:t>
            </w:r>
          </w:p>
        </w:tc>
      </w:tr>
      <w:tr>
        <w:tc>
          <w:tcPr>
            <w:tcW w:type="dxa" w:w="5256"/>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Prices below are standard rates. Enterprise procurement, unusual compliance requirements, high-volume support, rush work, and unusually complex implementations are quoted separately.</w:t>
            </w:r>
          </w:p>
        </w:tc>
        <w:tc>
          <w:tcPr>
            <w:tcW w:type="dxa" w:w="5256"/>
            <w:vAlign w:val="center"/>
            <w:tcMar>
              <w:top w:w="62" w:type="dxa"/>
              <w:start w:w="90" w:type="dxa"/>
              <w:bottom w:w="62" w:type="dxa"/>
              <w:end w:w="90" w:type="dxa"/>
            </w:tcMar>
            <w:tcBorders>
              <w:bottom w:val="single" w:sz="3" w:color="8A8A8A"/>
            </w:tcBorders>
          </w:tcPr>
          <w:p>
            <w:pPr>
              <w:spacing w:after="0"/>
            </w:pPr>
          </w:p>
        </w:tc>
      </w:tr>
    </w:tbl>
    <w:p>
      <w:pPr>
        <w:spacing w:after="0"/>
      </w:pPr>
    </w:p>
    <w:p>
      <w:pPr>
        <w:pStyle w:val="Heading2"/>
      </w:pPr>
      <w:r>
        <w:rPr>
          <w:rFonts w:ascii="Inter" w:hAnsi="Inter" w:eastAsia="Inter" w:cs="Inter"/>
        </w:rPr>
        <w:t>MARKETING &amp; CREATIVE</w:t>
      </w:r>
    </w:p>
    <w:p>
      <w:pPr>
        <w:pStyle w:val="Heading2"/>
      </w:pPr>
      <w:r>
        <w:rPr>
          <w:rFonts w:ascii="Inter" w:hAnsi="Inter" w:eastAsia="Inter" w:cs="Inter"/>
        </w:rPr>
        <w:t>Short-Form Video Editing</w:t>
      </w:r>
    </w:p>
    <w:p>
      <w:r>
        <w:rPr>
          <w:rFonts w:ascii="Inter" w:hAnsi="Inter" w:eastAsia="Inter" w:cs="Inter"/>
          <w:b/>
        </w:rPr>
        <w:t>Standard definition:</w:t>
      </w:r>
      <w:r>
        <w:rPr>
          <w:rFonts w:ascii="Inter" w:hAnsi="Inter" w:eastAsia="Inter" w:cs="Inter"/>
        </w:rPr>
        <w:t xml:space="preserve"> one finished short-form video, up to 45 seconds, edited from client-supplied or previously captured footage, with standard captions, basic motion treatment, audio cleanup, and one standard revision round. USATII MEDIA is currently developing an automated video editing suite. Requesting us to handle creative work is a fancy way of calling yourself a design partner. We'll try to embed you into the process. Eventually, the software will be good enough to handle rote work for you and can be sold separately.</w:t>
      </w:r>
    </w:p>
    <w:tbl>
      <w:tblPr>
        <w:tblW w:type="auto" w:w="0"/>
        <w:jc w:val="center"/>
        <w:tblLayout w:type="fixed"/>
        <w:tblLook w:firstColumn="1" w:firstRow="1" w:lastColumn="0" w:lastRow="0" w:noHBand="0" w:noVBand="1" w:val="04A0"/>
      </w:tblPr>
      <w:tblGrid>
        <w:gridCol w:w="2628"/>
        <w:gridCol w:w="2628"/>
        <w:gridCol w:w="2628"/>
        <w:gridCol w:w="2628"/>
      </w:tblGrid>
      <w:tr>
        <w:trPr>
          <w:tblHeader w:val="true"/>
        </w:trPr>
        <w:tc>
          <w:tcPr>
            <w:tcW w:type="dxa" w:w="2628"/>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Quantity</w:t>
            </w:r>
          </w:p>
        </w:tc>
        <w:tc>
          <w:tcPr>
            <w:tcW w:type="dxa" w:w="2628"/>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Unit Price</w:t>
            </w:r>
          </w:p>
        </w:tc>
        <w:tc>
          <w:tcPr>
            <w:tcW w:type="dxa" w:w="2628"/>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Package Total</w:t>
            </w:r>
          </w:p>
        </w:tc>
        <w:tc>
          <w:tcPr>
            <w:tcW w:type="dxa" w:w="2628"/>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Savings vs. $75 Each</w:t>
            </w:r>
          </w:p>
        </w:tc>
      </w:tr>
      <w:tr>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t>
            </w:r>
          </w:p>
        </w:tc>
      </w:tr>
      <w:tr>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$65</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$650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$100</w:t>
            </w:r>
          </w:p>
        </w:tc>
      </w:tr>
      <w:tr>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$55</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$1,100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$400</w:t>
            </w:r>
          </w:p>
        </w:tc>
      </w:tr>
      <w:tr>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$750</w:t>
            </w:r>
          </w:p>
        </w:tc>
      </w:tr>
      <w:tr>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31+</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w:t>
            </w:r>
          </w:p>
        </w:tc>
        <w:tc>
          <w:tcPr>
            <w:tcW w:type="dxa" w:w="2628"/>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Quoted by workflow</w:t>
            </w:r>
          </w:p>
        </w:tc>
      </w:tr>
    </w:tbl>
    <w:p>
      <w:pPr>
        <w:spacing w:after="0"/>
      </w:pPr>
    </w:p>
    <w:p>
      <w:pPr>
        <w:pStyle w:val="Heading3"/>
      </w:pPr>
      <w:r>
        <w:rPr>
          <w:rFonts w:ascii="Inter" w:hAnsi="Inter" w:eastAsia="Inter" w:cs="Inter"/>
        </w:rPr>
        <w:t>Scaling rule</w:t>
      </w:r>
    </w:p>
    <w:p>
      <w:pPr>
        <w:keepNext/>
      </w:pPr>
      <w:r>
        <w:rPr>
          <w:rFonts w:ascii="Inter" w:hAnsi="Inter" w:eastAsia="Inter" w:cs="Inter"/>
        </w:rPr>
        <w:t>The video pack pays for the master assets and does not include unlimited distribution to every social platform.</w:t>
      </w:r>
    </w:p>
    <w:tbl>
      <w:tblPr>
        <w:tblW w:type="auto" w:w="0"/>
        <w:jc w:val="center"/>
        <w:tblLook w:firstColumn="1" w:firstRow="1" w:lastColumn="0" w:lastRow="0" w:noHBand="0" w:noVBand="1" w:val="04A0"/>
      </w:tblPr>
      <w:tblGrid>
        <w:gridCol w:w="10512"/>
      </w:tblGrid>
      <w:tr>
        <w:trPr>
          <w:cantSplit w:val="true"/>
        </w:trPr>
        <w:tc>
          <w:tcPr>
            <w:tcW w:type="dxa" w:w="10512"/>
            <w:shd w:fill="F5F6F7"/>
            <w:tcMar>
              <w:top w:w="150" w:type="dxa"/>
              <w:start w:w="175" w:type="dxa"/>
              <w:bottom w:w="150" w:type="dxa"/>
              <w:end w:w="175" w:type="dxa"/>
            </w:tcMar>
          </w:tcPr>
          <w:p>
            <w:pPr>
              <w:spacing w:after="0"/>
            </w:pPr>
            <w:r>
              <w:rPr>
                <w:rFonts w:ascii="Inter" w:hAnsi="Inter" w:eastAsia="Inter" w:cs="Inter"/>
              </w:rPr>
              <w:t>If a 30-video pack is deployed to five channels, that creates up to 150 channel-level publishing actions.</w:t>
            </w:r>
          </w:p>
        </w:tc>
      </w:tr>
    </w:tbl>
    <w:p>
      <w:r>
        <w:rPr>
          <w:rFonts w:ascii="Inter" w:hAnsi="Inter" w:eastAsia="Inter" w:cs="Inter"/>
        </w:rPr>
        <w:t>Platform operations are priced separately in Section 5.</w:t>
      </w:r>
    </w:p>
    <w:p>
      <w:pPr>
        <w:pStyle w:val="Heading2"/>
      </w:pPr>
      <w:r>
        <w:rPr>
          <w:rFonts w:ascii="Inter" w:hAnsi="Inter" w:eastAsia="Inter" w:cs="Inter"/>
        </w:rPr>
        <w:t>Other Available Deliverables</w:t>
      </w:r>
    </w:p>
    <w:tbl>
      <w:tblPr>
        <w:tblW w:type="auto" w:w="0"/>
        <w:jc w:val="center"/>
        <w:tblLayout w:type="fixed"/>
        <w:tblLook w:firstColumn="1" w:firstRow="1" w:lastColumn="0" w:lastRow="0" w:noHBand="0" w:noVBand="1" w:val="04A0"/>
      </w:tblPr>
      <w:tblGrid>
        <w:gridCol w:w="2102"/>
        <w:gridCol w:w="2102"/>
        <w:gridCol w:w="2102"/>
        <w:gridCol w:w="2102"/>
        <w:gridCol w:w="2102"/>
      </w:tblGrid>
      <w:tr>
        <w:trPr>
          <w:tblHeader w:val="true"/>
        </w:trPr>
        <w:tc>
          <w:tcPr>
            <w:tcW w:type="dxa" w:w="21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Deliverable</w:t>
            </w:r>
          </w:p>
        </w:tc>
        <w:tc>
          <w:tcPr>
            <w:tcW w:type="dxa" w:w="21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Single</w:t>
            </w:r>
          </w:p>
        </w:tc>
        <w:tc>
          <w:tcPr>
            <w:tcW w:type="dxa" w:w="21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10-Pack</w:t>
            </w:r>
          </w:p>
        </w:tc>
        <w:tc>
          <w:tcPr>
            <w:tcW w:type="dxa" w:w="21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20-Pack</w:t>
            </w:r>
          </w:p>
        </w:tc>
        <w:tc>
          <w:tcPr>
            <w:tcW w:type="dxa" w:w="21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30-Pack</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Short-form script/hook package</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$675</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Written social post</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$45</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$825</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Branded static graphic</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$900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$1,200</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Designed carousel</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$125</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$1,800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$2,400</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Thumbnail/cover</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$700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$900</w:t>
            </w:r>
          </w:p>
        </w:tc>
      </w:tr>
      <w:tr>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Voiceover from approved script</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$600</w:t>
            </w:r>
          </w:p>
        </w:tc>
        <w:tc>
          <w:tcPr>
            <w:tcW w:type="dxa" w:w="21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$825</w:t>
            </w:r>
          </w:p>
        </w:tc>
      </w:tr>
    </w:tbl>
    <w:p>
      <w:pPr>
        <w:spacing w:after="0"/>
      </w:pPr>
    </w:p>
    <w:p>
      <w:r>
        <w:rPr>
          <w:rFonts w:ascii="Inter" w:hAnsi="Inter" w:eastAsia="Inter" w:cs="Inter"/>
          <w:b/>
        </w:rPr>
        <w:t>31+ pieces:</w:t>
      </w:r>
      <w:r>
        <w:rPr>
          <w:rFonts w:ascii="Inter" w:hAnsi="Inter" w:eastAsia="Inter" w:cs="Inter"/>
        </w:rPr>
        <w:t xml:space="preserve"> custom quote. Large-volume orders are scoped around workflow complexity rather than applying the lowest listed unit rate indefinitely.</w:t>
      </w:r>
    </w:p>
    <w:p>
      <w:pPr>
        <w:pStyle w:val="Heading2"/>
      </w:pPr>
      <w:r>
        <w:rPr>
          <w:rFonts w:ascii="Inter" w:hAnsi="Inter" w:eastAsia="Inter" w:cs="Inter"/>
        </w:rPr>
        <w:t>Founder-Led Content Strategy &amp; Scripting Layer</w:t>
      </w:r>
    </w:p>
    <w:p>
      <w:r>
        <w:rPr>
          <w:rFonts w:ascii="Inter" w:hAnsi="Inter" w:eastAsia="Inter" w:cs="Inter"/>
        </w:rPr>
        <w:t>This layer is used when USATII is responsible for helping determine what gets made, not merely editing supplied instructions.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Monthly Master-Asset Volume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Strategy &amp; Scripting Fee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 to 10</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 to 20</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Up to 30</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$600/mo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31+</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 quote required</w:t>
            </w:r>
          </w:p>
        </w:tc>
      </w:tr>
    </w:tbl>
    <w:p>
      <w:pPr>
        <w:spacing w:after="0"/>
      </w:pPr>
    </w:p>
    <w:p>
      <w:r>
        <w:rPr>
          <w:rFonts w:ascii="Inter" w:hAnsi="Inter" w:eastAsia="Inter" w:cs="Inter"/>
        </w:rPr>
        <w:t>Includes content-calendar planning, hook development, lightweight scripting/outline work, sequencing, and monthly performance-informed adjustments. Deep research, technical writing, executive ghostwriting, or regulated subject-matter review may be quoted separately.</w:t>
      </w:r>
    </w:p>
    <w:p>
      <w:pPr>
        <w:pStyle w:val="Heading2"/>
      </w:pPr>
      <w:r>
        <w:rPr>
          <w:rFonts w:ascii="Inter" w:hAnsi="Inter" w:eastAsia="Inter" w:cs="Inter"/>
        </w:rPr>
        <w:t>Multi-Platform Distribution &amp; Channel Operations</w:t>
      </w:r>
    </w:p>
    <w:p>
      <w:r>
        <w:rPr>
          <w:rFonts w:ascii="Inter" w:hAnsi="Inter" w:eastAsia="Inter" w:cs="Inter"/>
        </w:rPr>
        <w:t>For each managed channel:</w:t>
      </w:r>
    </w:p>
    <w:p>
      <w:r>
        <w:rPr>
          <w:rFonts w:ascii="Inter" w:hAnsi="Inter" w:eastAsia="Inter" w:cs="Inter"/>
        </w:rPr>
        <w:t>Monthly channel cost = channel base fee + (master assets published to that channel × per-asset adaptation fee)</w:t>
      </w:r>
    </w:p>
    <w:p>
      <w:r>
        <w:rPr>
          <w:rFonts w:ascii="Inter" w:hAnsi="Inter" w:eastAsia="Inter" w:cs="Inter"/>
        </w:rPr>
        <w:t>The base fee covers account operations, calendar/scheduling, publishing workflow, routine QA, channel-level analytics, and operational upkeep. The per-asset fee covers the incremental work created by each channel-specific rendition: caption/copy treatment, metadata, crop/layout adjustments where needed, upload/publish handling, and channel QA.</w:t>
      </w:r>
    </w:p>
    <w:p>
      <w:pPr>
        <w:pStyle w:val="Heading3"/>
      </w:pPr>
      <w:r>
        <w:rPr>
          <w:rFonts w:ascii="Inter" w:hAnsi="Inter" w:eastAsia="Inter" w:cs="Inter"/>
        </w:rPr>
        <w:t>Channel Pricing Matrix</w:t>
      </w:r>
    </w:p>
    <w:tbl>
      <w:tblPr>
        <w:tblW w:type="auto" w:w="0"/>
        <w:jc w:val="center"/>
        <w:tblLayout w:type="fixed"/>
        <w:tblLook w:firstColumn="1" w:firstRow="1" w:lastColumn="0" w:lastRow="0" w:noHBand="0" w:noVBand="1" w:val="04A0"/>
      </w:tblPr>
      <w:tblGrid>
        <w:gridCol w:w="1502"/>
        <w:gridCol w:w="1502"/>
        <w:gridCol w:w="1502"/>
        <w:gridCol w:w="1502"/>
        <w:gridCol w:w="1502"/>
        <w:gridCol w:w="1502"/>
        <w:gridCol w:w="1502"/>
      </w:tblGrid>
      <w:tr>
        <w:trPr>
          <w:tblHeader w:val="true"/>
        </w:trPr>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Channel</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Base/Mo</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Per Asset</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10 Assets</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20 Assets</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30 Assets</w:t>
            </w:r>
          </w:p>
        </w:tc>
        <w:tc>
          <w:tcPr>
            <w:tcW w:type="dxa" w:w="1502"/>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OASIS</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Instagram</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TikTok</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YouTube/Shorts</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LinkedIn</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Facebook</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X</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Threads</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Reddit</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$700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Pinterest</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Google Business Profile</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$575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External</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Bluesky</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Discord</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$450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External</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Quora</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$475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$625</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External</w:t>
            </w:r>
          </w:p>
        </w:tc>
      </w:tr>
      <w:tr>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WhatsApp Business</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$800</w:t>
            </w:r>
          </w:p>
        </w:tc>
        <w:tc>
          <w:tcPr>
            <w:tcW w:type="dxa" w:w="1502"/>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w:t>
            </w:r>
          </w:p>
        </w:tc>
      </w:tr>
    </w:tbl>
    <w:p>
      <w:pPr>
        <w:spacing w:after="0"/>
      </w:pPr>
    </w:p>
    <w:p>
      <w:r>
        <w:rPr>
          <w:rFonts w:ascii="Inter" w:hAnsi="Inter" w:eastAsia="Inter" w:cs="Inter"/>
        </w:rPr>
        <w:t>Native means the channel is represented in the current OASIS product/integration model. External means USATII may manage the channel alongside OASIS but should not represent it as a native OASIS integration unless the product adds that integration.</w:t>
      </w:r>
    </w:p>
    <w:p>
      <w:pPr>
        <w:pStyle w:val="Heading2"/>
      </w:pPr>
      <w:r>
        <w:rPr>
          <w:rFonts w:ascii="Inter" w:hAnsi="Inter" w:eastAsia="Inter" w:cs="Inter"/>
        </w:rPr>
        <w:t>OASIS Social Operations Software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OASIS Configuration</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Business (2 users minimum)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Business (3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Business (5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Business (10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Additional Business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$100/user/mo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Enterprise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Custom</w:t>
            </w:r>
          </w:p>
        </w:tc>
      </w:tr>
    </w:tbl>
    <w:p>
      <w:pPr>
        <w:spacing w:after="0"/>
      </w:pPr>
    </w:p>
    <w:p>
      <w:pPr>
        <w:pStyle w:val="Heading3"/>
      </w:pPr>
      <w:r>
        <w:rPr>
          <w:rFonts w:ascii="Inter" w:hAnsi="Inter" w:eastAsia="Inter" w:cs="Inter"/>
        </w:rPr>
        <w:t>OASIS Implementation &amp; Administration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Service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Standard workspace onboarding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$750 one-time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Existing USATII managed-marketing client onboarding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$250 one-time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 workflows/integrations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 or fixed quote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Enterprise rollout/procurement support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Custom</w:t>
            </w:r>
          </w:p>
        </w:tc>
      </w:tr>
    </w:tbl>
    <w:p>
      <w:pPr>
        <w:spacing w:after="0"/>
      </w:pPr>
    </w:p>
    <w:p>
      <w:r>
        <w:rPr>
          <w:rFonts w:ascii="Inter" w:hAnsi="Inter" w:eastAsia="Inter" w:cs="Inter"/>
        </w:rPr>
        <w:t xml:space="preserve">For a managed multi-platform engagement that uses OASIS, the standard commercial assumption is at least the </w:t>
      </w:r>
      <w:r>
        <w:rPr>
          <w:rFonts w:ascii="Inter" w:hAnsi="Inter" w:eastAsia="Inter" w:cs="Inter"/>
          <w:b/>
        </w:rPr>
        <w:t>2-user Business minimum: $200/month</w:t>
      </w:r>
      <w:r>
        <w:rPr>
          <w:rFonts w:ascii="Inter" w:hAnsi="Inter" w:eastAsia="Inter" w:cs="Inter"/>
        </w:rPr>
        <w:t>. OASIS licensing is a line item.</w:t>
      </w:r>
    </w:p>
    <w:p>
      <w:pPr>
        <w:pStyle w:val="Heading2"/>
      </w:pPr>
      <w:r>
        <w:rPr>
          <w:rFonts w:ascii="Inter" w:hAnsi="Inter" w:eastAsia="Inter" w:cs="Inter"/>
        </w:rPr>
        <w:t>Community Management</w:t>
      </w:r>
    </w:p>
    <w:p>
      <w:r>
        <w:rPr>
          <w:rFonts w:ascii="Inter" w:hAnsi="Inter" w:eastAsia="Inter" w:cs="Inter"/>
        </w:rPr>
        <w:t>Community work is priced separately from ordinary publishing because response volume can scale independently of content volume.</w:t>
      </w: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Level</w:t>
            </w:r>
          </w:p>
        </w:tc>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Price/Channel/Month</w:t>
            </w:r>
          </w:p>
        </w:tc>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Standard Scope</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Monitoring</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$250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Monitor comments/mentions and flag items requiring action</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Managed Engagement</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Routine replies, engagement, routing, and escalation</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High-Volume Community</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High response volume, structured queues, escalation rules, active moderation</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Regulated/SLA-Based Response</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Approval paths, response SLAs, evidence, governance</w:t>
            </w:r>
          </w:p>
        </w:tc>
      </w:tr>
    </w:tbl>
    <w:p>
      <w:pPr>
        <w:spacing w:after="0"/>
      </w:pPr>
    </w:p>
    <w:p>
      <w:r>
        <w:rPr>
          <w:rFonts w:ascii="Inter" w:hAnsi="Inter" w:eastAsia="Inter" w:cs="Inter"/>
        </w:rPr>
        <w:t>Applies to social channels and communities such as Reddit, Discord, Quora, Instagram, LinkedIn, X, Facebook, and similar environments.</w:t>
      </w:r>
    </w:p>
    <w:p>
      <w:pPr>
        <w:pStyle w:val="Heading2"/>
      </w:pPr>
      <w:r>
        <w:rPr>
          <w:rFonts w:ascii="Inter" w:hAnsi="Inter" w:eastAsia="Inter" w:cs="Inter"/>
        </w:rPr>
        <w:t>SEO &amp; Search Visibility</w:t>
      </w:r>
    </w:p>
    <w:p>
      <w:r>
        <w:rPr>
          <w:rFonts w:ascii="Inter" w:hAnsi="Inter" w:eastAsia="Inter" w:cs="Inter"/>
        </w:rPr>
        <w:t>SEO retainers cover search strategy, technical work, optimization, measurement, and ongoing search operations. Net-new articles, landing pages, graphics, or video assets are billed separately unless a proposal expressly bundles them.</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Service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Technical SEO baseline/audit/indexing setup</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 one-time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Local SEO</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$1,250/mo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Growth SEO</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$2,500/mo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Multi-Market/Multi-Location SEO</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$4,000/mo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Enterprise Search Program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$6,000+/mo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Additional managed location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$250/mo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Search architecture/keyword map</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$750 one-time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Standalone SEO landing/service page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Long-form search article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w:t>
            </w:r>
          </w:p>
        </w:tc>
      </w:tr>
    </w:tbl>
    <w:p>
      <w:pPr>
        <w:spacing w:after="0"/>
      </w:pPr>
    </w:p>
    <w:p>
      <w:pPr>
        <w:pStyle w:val="Heading2"/>
      </w:pPr>
      <w:r>
        <w:rPr>
          <w:rFonts w:ascii="Inter" w:hAnsi="Inter" w:eastAsia="Inter" w:cs="Inter"/>
        </w:rPr>
        <w:t>Paid Acquisition (Ads)</w:t>
      </w:r>
    </w:p>
    <w:p>
      <w:r>
        <w:rPr>
          <w:rFonts w:ascii="Inter" w:hAnsi="Inter" w:eastAsia="Inter" w:cs="Inter"/>
        </w:rPr>
        <w:t xml:space="preserve">Our unit economics are simple: </w:t>
      </w:r>
      <w:r>
        <w:rPr>
          <w:rFonts w:ascii="Inter" w:hAnsi="Inter" w:eastAsia="Inter" w:cs="Inter"/>
        </w:rPr>
        <w:t>Management fee = $450/month + 20% of managed ad spend</w:t>
      </w:r>
      <w:r>
        <w:rPr>
          <w:rFonts w:ascii="Inter" w:hAnsi="Inter" w:eastAsia="Inter" w:cs="Inter"/>
        </w:rPr>
        <w:t>. If the client pays Meta, Google, LinkedIn, TikTok, or another ad platform directly, USATII invoices only the management fees.</w:t>
      </w:r>
    </w:p>
    <w:p>
      <w:pPr>
        <w:pStyle w:val="Heading2"/>
      </w:pPr>
      <w:r>
        <w:rPr>
          <w:rFonts w:ascii="Inter" w:hAnsi="Inter" w:eastAsia="Inter" w:cs="Inter"/>
        </w:rPr>
        <w:t>WEBSITES &amp; GROWTH INFRASTRUCTURE</w:t>
      </w:r>
    </w:p>
    <w:p>
      <w:pPr>
        <w:pStyle w:val="Heading2"/>
      </w:pPr>
      <w:r>
        <w:rPr>
          <w:rFonts w:ascii="Inter" w:hAnsi="Inter" w:eastAsia="Inter" w:cs="Inter"/>
        </w:rPr>
        <w:t>Website Builds</w:t>
      </w:r>
    </w:p>
    <w:p>
      <w:r>
        <w:rPr>
          <w:rFonts w:ascii="Inter" w:hAnsi="Inter" w:eastAsia="Inter" w:cs="Inter"/>
        </w:rPr>
        <w:t>The optional four-payment schedule are financing options of the same build price.</w:t>
      </w:r>
    </w:p>
    <w:tbl>
      <w:tblPr>
        <w:tblW w:type="auto" w:w="0"/>
        <w:jc w:val="center"/>
        <w:tblLayout w:type="fixed"/>
        <w:tblLook w:firstColumn="1" w:firstRow="1" w:lastColumn="0" w:lastRow="0" w:noHBand="0" w:noVBand="1" w:val="04A0"/>
      </w:tblPr>
      <w:tblGrid>
        <w:gridCol w:w="3504"/>
        <w:gridCol w:w="3504"/>
        <w:gridCol w:w="3504"/>
      </w:tblGrid>
      <w:tr>
        <w:trPr>
          <w:tblHeader w:val="true"/>
        </w:trPr>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Website/Platform</w:t>
            </w:r>
          </w:p>
        </w:tc>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Project Price</w:t>
            </w:r>
          </w:p>
        </w:tc>
        <w:tc>
          <w:tcPr>
            <w:tcW w:type="dxa" w:w="3504"/>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4-Payment Option</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Focused landing page</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$2,000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Dynamic business website</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$4,000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 × $1,000</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Full-stack public web platform</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$12,000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 × $3,000</w:t>
            </w:r>
          </w:p>
        </w:tc>
      </w:tr>
      <w:tr>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Enterprise public platform</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$40,000+</w:t>
            </w:r>
          </w:p>
        </w:tc>
        <w:tc>
          <w:tcPr>
            <w:tcW w:type="dxa" w:w="3504"/>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w:t>
            </w:r>
          </w:p>
        </w:tc>
      </w:tr>
    </w:tbl>
    <w:p>
      <w:pPr>
        <w:spacing w:after="0"/>
      </w:pPr>
    </w:p>
    <w:p>
      <w:r>
        <w:rPr>
          <w:rFonts w:ascii="Inter" w:hAnsi="Inter" w:eastAsia="Inter" w:cs="Inter"/>
        </w:rPr>
        <w:t>Typical scope may include custom design, responsive implementation, conversion architecture, analytics instrumentation, search-ready structure, forms/intake, integrations, and deployment. Complex content migrations, large catalogs, regulated workflows, advanced accessibility remediation, third-party licensing, and custom backend systems may increase the project price.</w:t>
      </w:r>
    </w:p>
    <w:p>
      <w:pPr>
        <w:pStyle w:val="Heading2"/>
      </w:pPr>
      <w:r>
        <w:rPr>
          <w:rFonts w:ascii="Inter" w:hAnsi="Inter" w:eastAsia="Inter" w:cs="Inter"/>
        </w:rPr>
        <w:t>Website Care &amp; Growth Operations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Service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Hosting administration + basic maintenance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Managed website care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$350/mo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Growth website operations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High-change commercial web operation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$1,500+/mo</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Open-ended development/changes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bl>
    <w:p>
      <w:pPr>
        <w:spacing w:after="0"/>
      </w:pPr>
    </w:p>
    <w:p>
      <w:r>
        <w:rPr>
          <w:rFonts w:ascii="Inter" w:hAnsi="Inter" w:eastAsia="Inter" w:cs="Inter"/>
        </w:rPr>
        <w:t>Infrastructure charges from hosting/CDN/database vendors are separate unless explicitly included.</w:t>
      </w:r>
    </w:p>
    <w:p>
      <w:pPr>
        <w:pStyle w:val="Heading2"/>
      </w:pPr>
      <w:r>
        <w:rPr>
          <w:rFonts w:ascii="Inter" w:hAnsi="Inter" w:eastAsia="Inter" w:cs="Inter"/>
        </w:rPr>
        <w:t>CUSTOM SOFTWARE &amp; OPERATIONS SYSTEMS</w:t>
      </w:r>
    </w:p>
    <w:p>
      <w:pPr>
        <w:pStyle w:val="Heading2"/>
      </w:pPr>
      <w:r>
        <w:rPr>
          <w:rFonts w:ascii="Inter" w:hAnsi="Inter" w:eastAsia="Inter" w:cs="Inter"/>
        </w:rPr>
        <w:t>Development Rate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Work Type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Rate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Open-ended custom development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API/integration work</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Existing-system modifications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Automation development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Maintenance development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Out-of-scope change requests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$45/hr</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Growth/executive consulting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$850/hr</w:t>
            </w:r>
          </w:p>
        </w:tc>
      </w:tr>
    </w:tbl>
    <w:p>
      <w:pPr>
        <w:spacing w:after="0"/>
      </w:pPr>
    </w:p>
    <w:p>
      <w:r>
        <w:rPr>
          <w:rFonts w:ascii="Inter" w:hAnsi="Inter" w:eastAsia="Inter" w:cs="Inter"/>
        </w:rPr>
        <w:t>USATII's AI-assisted development process can reduce implementation time materially. That efficiency is reflected in faster delivery, iteration capacity, and competitive fixed project pricing—not by giving away the economic value of a finished operating system.</w:t>
      </w:r>
    </w:p>
    <w:p>
      <w:pPr>
        <w:pStyle w:val="Heading2"/>
      </w:pPr>
      <w:r>
        <w:rPr>
          <w:rFonts w:ascii="Inter" w:hAnsi="Inter" w:eastAsia="Inter" w:cs="Inter"/>
        </w:rPr>
        <w:t>16. Systems Mapping &amp; Software Foundation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Component</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Systems mapping/implementation specification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Core custom operations-platform foundation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$7,500</w:t>
            </w:r>
          </w:p>
        </w:tc>
      </w:tr>
    </w:tbl>
    <w:p>
      <w:pPr>
        <w:spacing w:after="0"/>
      </w:pPr>
    </w:p>
    <w:p>
      <w:r>
        <w:rPr>
          <w:rFonts w:ascii="Inter" w:hAnsi="Inter" w:eastAsia="Inter" w:cs="Inter"/>
        </w:rPr>
        <w:t xml:space="preserve">The foundation generally covers the reusable application layer needed before business-specific modules are added: organization/user model, authentication, core permissions, database/application structure, basic auditability, administration, deployment, and the initial product interface. The $1,500 systems-mapping fee is credited toward </w:t>
      </w:r>
      <w:r>
        <w:rPr>
          <w:rFonts w:ascii="Inter" w:hAnsi="Inter" w:eastAsia="Inter" w:cs="Inter"/>
          <w:b/>
        </w:rPr>
        <w:t>$15,000+</w:t>
      </w:r>
      <w:r>
        <w:rPr>
          <w:rFonts w:ascii="Inter" w:hAnsi="Inter" w:eastAsia="Inter" w:cs="Inter"/>
        </w:rPr>
        <w:t xml:space="preserve"> implementation projects when stated in the proposal.</w:t>
      </w:r>
    </w:p>
    <w:p>
      <w:pPr>
        <w:pStyle w:val="Heading2"/>
      </w:pPr>
      <w:r>
        <w:rPr>
          <w:rFonts w:ascii="Inter" w:hAnsi="Inter" w:eastAsia="Inter" w:cs="Inter"/>
        </w:rPr>
        <w:t>17. Operations Software Module Matrix</w:t>
      </w:r>
    </w:p>
    <w:p>
      <w:r>
        <w:rPr>
          <w:rFonts w:ascii="Inter" w:hAnsi="Inter" w:eastAsia="Inter" w:cs="Inter"/>
        </w:rPr>
        <w:t xml:space="preserve">The following are </w:t>
      </w:r>
      <w:r>
        <w:rPr>
          <w:rFonts w:ascii="Inter" w:hAnsi="Inter" w:eastAsia="Inter" w:cs="Inter"/>
          <w:b/>
        </w:rPr>
        <w:t>incremental starting prices when added to a shared USATII platform foundation</w:t>
      </w:r>
      <w:r>
        <w:rPr>
          <w:rFonts w:ascii="Inter" w:hAnsi="Inter" w:eastAsia="Inter" w:cs="Inter"/>
        </w:rPr>
        <w:t>. Shared infrastructure is not rebuilt and charged repeatedly.</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Module</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Starting 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Lead intake/CRM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Projects/tasks/work orders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Inventory/materials/asset tracking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Quotes/estimates/proposals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RFQ/bid/procurement workflow</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HR/employee management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Timecards/attendance/payroll export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Training/LMS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Executive dashboard</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Customer/client portal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$16,000</w:t>
            </w:r>
            <w:r>
              <w:rPr>
                <w:rFonts w:ascii="Inter" w:hAnsi="Inter" w:eastAsia="Inter" w:cs="Inter"/>
              </w:rPr>
              <w:t xml:space="preserve"> for the full portal as a bundle; includes everything listed in this table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Vendor/subcontractor portal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Document/approval workflow</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Automated notifications/workflow rules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External API integration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 each</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PBX/call routing/intake communications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AI summaries/search/operational assistant</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$3,500+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Advanced analytics/reporting</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$4,000+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Mobile/PWA field interface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Native or cross-platform mobile application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SSO/advanced RBAC/security controls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Compliance/audit-evidence infrastructure</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w:t>
            </w:r>
          </w:p>
        </w:tc>
      </w:tr>
    </w:tbl>
    <w:p>
      <w:pPr>
        <w:spacing w:after="0"/>
      </w:pPr>
    </w:p>
    <w:p>
      <w:r>
        <w:rPr>
          <w:rFonts w:ascii="Inter" w:hAnsi="Inter" w:eastAsia="Inter" w:cs="Inter"/>
        </w:rPr>
        <w:t>These are starting prices, not promises that every implementation of a named module has identical scope.</w:t>
      </w:r>
    </w:p>
    <w:p>
      <w:r>
        <w:rPr>
          <w:rFonts w:ascii="Inter" w:hAnsi="Inter" w:eastAsia="Inter" w:cs="Inter"/>
        </w:rPr>
        <w:t>These bands provide a commercial shorthand for systems composed from the shared foundation and modules above.</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System Class</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Typical Project Price</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Focused workflow automation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$5,000–$10,000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Operations Starter/small internal system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$10,000–$20,000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Department operating system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$15,000–$30,000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Cross-department Business OS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$30,000–$60,000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Advanced business platform</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$50,000–$100,000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Enterprise/institutional implementation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$75,000+</w:t>
            </w:r>
          </w:p>
        </w:tc>
      </w:tr>
    </w:tbl>
    <w:p>
      <w:pPr>
        <w:spacing w:after="0"/>
      </w:pPr>
    </w:p>
    <w:p>
      <w:r>
        <w:rPr>
          <w:rFonts w:ascii="Inter" w:hAnsi="Inter" w:eastAsia="Inter" w:cs="Inter"/>
        </w:rPr>
        <w:t>Where ranges overlap, the quote is determined by actual workflow count, data model complexity, integrations, security requirements, migration burden, deployment model, and support obligations.</w:t>
      </w:r>
    </w:p>
    <w:p>
      <w:pPr>
        <w:pStyle w:val="Heading2"/>
      </w:pPr>
      <w:r>
        <w:rPr>
          <w:rFonts w:ascii="Inter" w:hAnsi="Inter" w:eastAsia="Inter" w:cs="Inter"/>
        </w:rPr>
        <w:t>Marketing Design Partner Examples</w:t>
      </w:r>
    </w:p>
    <w:p>
      <w:pPr>
        <w:pStyle w:val="Heading3"/>
      </w:pPr>
      <w:r>
        <w:rPr>
          <w:rFonts w:ascii="Inter" w:hAnsi="Inter" w:eastAsia="Inter" w:cs="Inter"/>
        </w:rPr>
        <w:t>10 Videos/3 Channels</w:t>
      </w:r>
    </w:p>
    <w:p>
      <w:r>
        <w:rPr>
          <w:rFonts w:ascii="Inter" w:hAnsi="Inter" w:eastAsia="Inter" w:cs="Inter"/>
        </w:rPr>
        <w:t>Channels: Instagram + TikTok + LinkedIn</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Component</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Monthly</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10 short-form master videos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Strategy/scripting layer</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OASIS Business (2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Total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$1,200/mo</w:t>
            </w:r>
          </w:p>
        </w:tc>
      </w:tr>
    </w:tbl>
    <w:p>
      <w:pPr>
        <w:spacing w:after="0"/>
      </w:pPr>
    </w:p>
    <w:p>
      <w:pPr>
        <w:pStyle w:val="Heading3"/>
      </w:pPr>
      <w:r>
        <w:rPr>
          <w:rFonts w:ascii="Inter" w:hAnsi="Inter" w:eastAsia="Inter" w:cs="Inter"/>
        </w:rPr>
        <w:t>20 Videos/4 Channels</w:t>
      </w:r>
    </w:p>
    <w:p>
      <w:r>
        <w:rPr>
          <w:rFonts w:ascii="Inter" w:hAnsi="Inter" w:eastAsia="Inter" w:cs="Inter"/>
        </w:rPr>
        <w:t>Channels: Instagram, TikTok, LinkedIn, YouTube Shorts</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Component</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Monthly</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 short-form master videos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$1,100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Strategy/scripting layer</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OASIS Business (2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Total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$1,750/mo</w:t>
            </w:r>
          </w:p>
        </w:tc>
      </w:tr>
    </w:tbl>
    <w:p>
      <w:pPr>
        <w:spacing w:after="0"/>
      </w:pPr>
    </w:p>
    <w:p>
      <w:pPr>
        <w:pStyle w:val="Heading3"/>
      </w:pPr>
      <w:r>
        <w:rPr>
          <w:rFonts w:ascii="Inter" w:hAnsi="Inter" w:eastAsia="Inter" w:cs="Inter"/>
        </w:rPr>
        <w:t>30 Videos/5 Channels</w:t>
      </w:r>
    </w:p>
    <w:p>
      <w:r>
        <w:rPr>
          <w:rFonts w:ascii="Inter" w:hAnsi="Inter" w:eastAsia="Inter" w:cs="Inter"/>
        </w:rPr>
        <w:t>Channels: Instagram, TikTok, YouTube Shorts, LinkedIn, X</w:t>
      </w:r>
    </w:p>
    <w:tbl>
      <w:tblPr>
        <w:tblW w:type="auto" w:w="0"/>
        <w:jc w:val="center"/>
        <w:tblLayout w:type="fixed"/>
        <w:tblLook w:firstColumn="1" w:firstRow="1" w:lastColumn="0" w:lastRow="0" w:noHBand="0" w:noVBand="1" w:val="04A0"/>
      </w:tblPr>
      <w:tblGrid>
        <w:gridCol w:w="5256"/>
        <w:gridCol w:w="5256"/>
      </w:tblGrid>
      <w:tr>
        <w:trPr>
          <w:tblHeader w:val="true"/>
        </w:trPr>
        <w:tc>
          <w:tcPr>
            <w:tcW w:type="dxa" w:w="7569"/>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Component</w:t>
            </w:r>
          </w:p>
        </w:tc>
        <w:tc>
          <w:tcPr>
            <w:tcW w:type="dxa" w:w="2943"/>
            <w:vAlign w:val="center"/>
            <w:tcMar>
              <w:top w:w="62" w:type="dxa"/>
              <w:start w:w="90" w:type="dxa"/>
              <w:bottom w:w="62" w:type="dxa"/>
              <w:end w:w="90" w:type="dxa"/>
            </w:tcMar>
            <w:shd w:fill="E9EBED"/>
            <w:tcBorders>
              <w:bottom w:val="single" w:sz="5" w:color="333333"/>
            </w:tcBorders>
          </w:tcPr>
          <w:p>
            <w:pPr>
              <w:spacing w:after="0"/>
            </w:pPr>
            <w:r>
              <w:rPr>
                <w:rFonts w:ascii="Inter" w:hAnsi="Inter" w:eastAsia="Inter" w:cs="Inter"/>
                <w:b/>
                <w:color w:val="111318"/>
              </w:rPr>
              <w:t>Monthly</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30 short-form master videos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$1,500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Strategy/scripting layer</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$600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LinkedIn and X extension</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$450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OASIS Business (2 users)</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rPr>
              <w:t>$200</w:t>
            </w:r>
          </w:p>
        </w:tc>
      </w:tr>
      <w:tr>
        <w:tc>
          <w:tcPr>
            <w:tcW w:type="dxa" w:w="7569"/>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Total</w:t>
            </w:r>
          </w:p>
        </w:tc>
        <w:tc>
          <w:tcPr>
            <w:tcW w:type="dxa" w:w="2943"/>
            <w:vAlign w:val="center"/>
            <w:tcMar>
              <w:top w:w="62" w:type="dxa"/>
              <w:start w:w="90" w:type="dxa"/>
              <w:bottom w:w="62" w:type="dxa"/>
              <w:end w:w="90" w:type="dxa"/>
            </w:tcMar>
            <w:tcBorders>
              <w:bottom w:val="single" w:sz="3" w:color="8A8A8A"/>
            </w:tcBorders>
          </w:tcPr>
          <w:p>
            <w:pPr>
              <w:spacing w:after="0"/>
            </w:pPr>
            <w:r>
              <w:rPr>
                <w:rFonts w:ascii="Inter" w:hAnsi="Inter" w:eastAsia="Inter" w:cs="Inter"/>
                <w:b/>
              </w:rPr>
              <w:t>$2,750/mo</w:t>
            </w:r>
          </w:p>
        </w:tc>
      </w:tr>
    </w:tbl>
    <w:p>
      <w:pPr>
        <w:spacing w:after="0"/>
      </w:pPr>
    </w:p>
    <w:p>
      <w:pPr>
        <w:pStyle w:val="Heading2"/>
      </w:pPr>
      <w:r>
        <w:rPr>
          <w:rFonts w:ascii="Inter" w:hAnsi="Inter" w:eastAsia="Inter" w:cs="Inter"/>
        </w:rPr>
        <w:t>Full Growth-System Examples</w:t>
      </w:r>
    </w:p>
    <w:p>
      <w:pPr>
        <w:pStyle w:val="Heading3"/>
      </w:pPr>
      <w:r>
        <w:rPr>
          <w:rFonts w:ascii="Inter" w:hAnsi="Inter" w:eastAsia="Inter" w:cs="Inter"/>
        </w:rPr>
        <w:t>Growth Content &amp; SEO</w:t>
      </w:r>
    </w:p>
    <w:p>
      <w:r>
        <w:rPr>
          <w:rFonts w:ascii="Inter" w:hAnsi="Inter" w:eastAsia="Inter" w:cs="Inter"/>
        </w:rPr>
        <w:t>20-video/4-channel managed content system:</w:t>
      </w:r>
    </w:p>
    <w:p>
      <w:pPr>
        <w:pStyle w:val="ListBullet"/>
        <w:spacing w:after="44"/>
      </w:pPr>
      <w:r>
        <w:rPr>
          <w:rFonts w:ascii="Inter" w:hAnsi="Inter" w:eastAsia="Inter" w:cs="Inter"/>
        </w:rPr>
        <w:t xml:space="preserve">Managed content system: </w:t>
      </w:r>
      <w:r>
        <w:rPr>
          <w:rFonts w:ascii="Inter" w:hAnsi="Inter" w:eastAsia="Inter" w:cs="Inter"/>
          <w:b/>
        </w:rPr>
        <w:t>$3,400/mo</w:t>
      </w:r>
    </w:p>
    <w:p>
      <w:pPr>
        <w:pStyle w:val="ListBullet"/>
        <w:spacing w:after="44"/>
      </w:pPr>
      <w:r>
        <w:rPr>
          <w:rFonts w:ascii="Inter" w:hAnsi="Inter" w:eastAsia="Inter" w:cs="Inter"/>
        </w:rPr>
        <w:t xml:space="preserve">Growth SEO: </w:t>
      </w:r>
      <w:r>
        <w:rPr>
          <w:rFonts w:ascii="Inter" w:hAnsi="Inter" w:eastAsia="Inter" w:cs="Inter"/>
          <w:b/>
        </w:rPr>
        <w:t>$2,500/mo</w:t>
      </w:r>
    </w:p>
    <w:p>
      <w:pPr>
        <w:pStyle w:val="ListBullet"/>
        <w:spacing w:after="44"/>
      </w:pPr>
      <w:r>
        <w:rPr>
          <w:rFonts w:ascii="Inter" w:hAnsi="Inter" w:eastAsia="Inter" w:cs="Inter"/>
          <w:b/>
        </w:rPr>
        <w:t>Combined recurring fee: $5,900/mo</w:t>
      </w:r>
    </w:p>
    <w:p>
      <w:pPr>
        <w:pStyle w:val="Heading3"/>
      </w:pPr>
      <w:r>
        <w:rPr>
          <w:rFonts w:ascii="Inter" w:hAnsi="Inter" w:eastAsia="Inter" w:cs="Inter"/>
        </w:rPr>
        <w:t>Scale Content, SEO, &amp; Website Operations</w:t>
      </w:r>
    </w:p>
    <w:p>
      <w:r>
        <w:rPr>
          <w:rFonts w:ascii="Inter" w:hAnsi="Inter" w:eastAsia="Inter" w:cs="Inter"/>
        </w:rPr>
        <w:t>30-video/5-channel managed content system:</w:t>
      </w:r>
    </w:p>
    <w:p>
      <w:pPr>
        <w:pStyle w:val="ListBullet"/>
        <w:spacing w:after="44"/>
      </w:pPr>
      <w:r>
        <w:rPr>
          <w:rFonts w:ascii="Inter" w:hAnsi="Inter" w:eastAsia="Inter" w:cs="Inter"/>
        </w:rPr>
        <w:t xml:space="preserve">Managed content system: </w:t>
      </w:r>
      <w:r>
        <w:rPr>
          <w:rFonts w:ascii="Inter" w:hAnsi="Inter" w:eastAsia="Inter" w:cs="Inter"/>
          <w:b/>
        </w:rPr>
        <w:t>$5,050/mo</w:t>
      </w:r>
    </w:p>
    <w:p>
      <w:pPr>
        <w:pStyle w:val="ListBullet"/>
        <w:spacing w:after="44"/>
      </w:pPr>
      <w:r>
        <w:rPr>
          <w:rFonts w:ascii="Inter" w:hAnsi="Inter" w:eastAsia="Inter" w:cs="Inter"/>
        </w:rPr>
        <w:t xml:space="preserve">Growth SEO: </w:t>
      </w:r>
      <w:r>
        <w:rPr>
          <w:rFonts w:ascii="Inter" w:hAnsi="Inter" w:eastAsia="Inter" w:cs="Inter"/>
          <w:b/>
        </w:rPr>
        <w:t>$2,500/mo</w:t>
      </w:r>
    </w:p>
    <w:p>
      <w:pPr>
        <w:pStyle w:val="ListBullet"/>
        <w:spacing w:after="44"/>
      </w:pPr>
      <w:r>
        <w:rPr>
          <w:rFonts w:ascii="Inter" w:hAnsi="Inter" w:eastAsia="Inter" w:cs="Inter"/>
        </w:rPr>
        <w:t xml:space="preserve">Growth website operations: </w:t>
      </w:r>
      <w:r>
        <w:rPr>
          <w:rFonts w:ascii="Inter" w:hAnsi="Inter" w:eastAsia="Inter" w:cs="Inter"/>
          <w:b/>
        </w:rPr>
        <w:t>$750/mo</w:t>
      </w:r>
    </w:p>
    <w:p>
      <w:pPr>
        <w:pStyle w:val="ListBullet"/>
        <w:spacing w:after="44"/>
      </w:pPr>
      <w:r>
        <w:rPr>
          <w:rFonts w:ascii="Inter" w:hAnsi="Inter" w:eastAsia="Inter" w:cs="Inter"/>
          <w:b/>
        </w:rPr>
        <w:t>Combined recurring fee: $8,300/mo</w:t>
      </w:r>
    </w:p>
    <w:p>
      <w:pPr>
        <w:pStyle w:val="Heading3"/>
      </w:pPr>
      <w:r>
        <w:rPr>
          <w:rFonts w:ascii="Inter" w:hAnsi="Inter" w:eastAsia="Inter" w:cs="Inter"/>
        </w:rPr>
        <w:t>Scale Growth System with $5,000 Paid Media</w:t>
      </w:r>
    </w:p>
    <w:p>
      <w:pPr>
        <w:pStyle w:val="ListBullet"/>
        <w:spacing w:after="44"/>
      </w:pPr>
      <w:r>
        <w:rPr>
          <w:rFonts w:ascii="Inter" w:hAnsi="Inter" w:eastAsia="Inter" w:cs="Inter"/>
        </w:rPr>
        <w:t xml:space="preserve">Scale content system: </w:t>
      </w:r>
      <w:r>
        <w:rPr>
          <w:rFonts w:ascii="Inter" w:hAnsi="Inter" w:eastAsia="Inter" w:cs="Inter"/>
          <w:b/>
        </w:rPr>
        <w:t>$5,050/mo</w:t>
      </w:r>
    </w:p>
    <w:p>
      <w:pPr>
        <w:pStyle w:val="ListBullet"/>
        <w:spacing w:after="44"/>
      </w:pPr>
      <w:r>
        <w:rPr>
          <w:rFonts w:ascii="Inter" w:hAnsi="Inter" w:eastAsia="Inter" w:cs="Inter"/>
        </w:rPr>
        <w:t xml:space="preserve">Growth SEO: </w:t>
      </w:r>
      <w:r>
        <w:rPr>
          <w:rFonts w:ascii="Inter" w:hAnsi="Inter" w:eastAsia="Inter" w:cs="Inter"/>
          <w:b/>
        </w:rPr>
        <w:t>$2,500/mo</w:t>
      </w:r>
    </w:p>
    <w:p>
      <w:pPr>
        <w:pStyle w:val="ListBullet"/>
        <w:spacing w:after="44"/>
      </w:pPr>
      <w:r>
        <w:rPr>
          <w:rFonts w:ascii="Inter" w:hAnsi="Inter" w:eastAsia="Inter" w:cs="Inter"/>
        </w:rPr>
        <w:t xml:space="preserve">Growth website operations: </w:t>
      </w:r>
      <w:r>
        <w:rPr>
          <w:rFonts w:ascii="Inter" w:hAnsi="Inter" w:eastAsia="Inter" w:cs="Inter"/>
          <w:b/>
        </w:rPr>
        <w:t>$750/mo</w:t>
      </w:r>
    </w:p>
    <w:p>
      <w:pPr>
        <w:pStyle w:val="ListBullet"/>
        <w:spacing w:after="44"/>
      </w:pPr>
      <w:r>
        <w:rPr>
          <w:rFonts w:ascii="Inter" w:hAnsi="Inter" w:eastAsia="Inter" w:cs="Inter"/>
        </w:rPr>
        <w:t xml:space="preserve">Paid-media management on $5,000 spend: </w:t>
      </w:r>
      <w:r>
        <w:rPr>
          <w:rFonts w:ascii="Inter" w:hAnsi="Inter" w:eastAsia="Inter" w:cs="Inter"/>
          <w:b/>
        </w:rPr>
        <w:t>$1,450/mo</w:t>
      </w:r>
    </w:p>
    <w:p>
      <w:pPr>
        <w:pStyle w:val="ListBullet"/>
        <w:spacing w:after="44"/>
      </w:pPr>
      <w:r>
        <w:rPr>
          <w:rFonts w:ascii="Inter" w:hAnsi="Inter" w:eastAsia="Inter" w:cs="Inter"/>
        </w:rPr>
        <w:t xml:space="preserve">Media spend: </w:t>
      </w:r>
      <w:r>
        <w:rPr>
          <w:rFonts w:ascii="Inter" w:hAnsi="Inter" w:eastAsia="Inter" w:cs="Inter"/>
          <w:b/>
        </w:rPr>
        <w:t>$5,000/mo</w:t>
      </w:r>
    </w:p>
    <w:p>
      <w:pPr>
        <w:pStyle w:val="ListBullet"/>
        <w:spacing w:after="44"/>
      </w:pPr>
      <w:r>
        <w:rPr>
          <w:rFonts w:ascii="Inter" w:hAnsi="Inter" w:eastAsia="Inter" w:cs="Inter"/>
          <w:b/>
        </w:rPr>
        <w:t>Total monthly cash requirement: $14,750</w:t>
      </w:r>
    </w:p>
    <w:p>
      <w:pPr>
        <w:pStyle w:val="ListBullet"/>
        <w:spacing w:after="44"/>
      </w:pPr>
      <w:r>
        <w:rPr>
          <w:rFonts w:ascii="Inter" w:hAnsi="Inter" w:eastAsia="Inter" w:cs="Inter"/>
        </w:rPr>
        <w:t xml:space="preserve">Of that amount, </w:t>
      </w:r>
      <w:r>
        <w:rPr>
          <w:rFonts w:ascii="Inter" w:hAnsi="Inter" w:eastAsia="Inter" w:cs="Inter"/>
          <w:b/>
        </w:rPr>
        <w:t>$5,000 is media spend</w:t>
      </w:r>
      <w:r>
        <w:rPr>
          <w:rFonts w:ascii="Inter" w:hAnsi="Inter" w:eastAsia="Inter" w:cs="Inter"/>
        </w:rPr>
        <w:t>, not USATII service revenue when the client pays the ad network directly.</w:t>
      </w:r>
    </w:p>
    <w:p>
      <w:pPr>
        <w:pStyle w:val="ListBullet"/>
        <w:spacing w:after="44"/>
      </w:pPr>
      <w:r>
        <w:rPr>
          <w:rFonts w:ascii="Inter" w:hAnsi="Inter" w:eastAsia="Inter" w:cs="Inter"/>
        </w:rPr>
        <w:t xml:space="preserve">USATII service/software fees in this example: </w:t>
      </w:r>
      <w:r>
        <w:rPr>
          <w:rFonts w:ascii="Inter" w:hAnsi="Inter" w:eastAsia="Inter" w:cs="Inter"/>
          <w:b/>
        </w:rPr>
        <w:t>$9,750/mo</w:t>
      </w:r>
    </w:p>
    <w:p>
      <w:pPr>
        <w:pStyle w:val="Heading2"/>
      </w:pPr>
      <w:r>
        <w:rPr>
          <w:rFonts w:ascii="Inter" w:hAnsi="Inter" w:eastAsia="Inter" w:cs="Inter"/>
        </w:rPr>
        <w:t>COMMERCIAL TERMS</w:t>
      </w:r>
    </w:p>
    <w:p>
      <w:pPr>
        <w:pStyle w:val="Heading3"/>
      </w:pPr>
      <w:r>
        <w:rPr>
          <w:rFonts w:ascii="Inter" w:hAnsi="Inter" w:eastAsia="Inter" w:cs="Inter"/>
        </w:rPr>
        <w:t>Creative</w:t>
      </w:r>
    </w:p>
    <w:p>
      <w:pPr>
        <w:pStyle w:val="ListBullet"/>
        <w:spacing w:after="44"/>
      </w:pPr>
      <w:r>
        <w:rPr>
          <w:rFonts w:ascii="Inter" w:hAnsi="Inter" w:eastAsia="Inter" w:cs="Inter"/>
        </w:rPr>
        <w:t>Short-form pricing assumes an established editing workflow and usable source material.</w:t>
      </w:r>
    </w:p>
    <w:p>
      <w:pPr>
        <w:pStyle w:val="ListBullet"/>
        <w:spacing w:after="44"/>
      </w:pPr>
      <w:r>
        <w:rPr>
          <w:rFonts w:ascii="Inter" w:hAnsi="Inter" w:eastAsia="Inter" w:cs="Inter"/>
        </w:rPr>
        <w:t>Filming, travel, studio rental, actors/talent, advanced animation, premium licensing, and major reshoots are separate.</w:t>
      </w:r>
    </w:p>
    <w:p>
      <w:pPr>
        <w:pStyle w:val="ListBullet"/>
        <w:spacing w:after="44"/>
      </w:pPr>
      <w:r>
        <w:rPr>
          <w:rFonts w:ascii="Inter" w:hAnsi="Inter" w:eastAsia="Inter" w:cs="Inter"/>
        </w:rPr>
        <w:t>Volume packages are intended to create production efficiency. A client cannot purchase a 30-pack and split it into unrelated high-complexity projects while retaining the same unit economics without approval.</w:t>
      </w:r>
    </w:p>
    <w:p>
      <w:pPr>
        <w:pStyle w:val="Heading3"/>
      </w:pPr>
      <w:r>
        <w:rPr>
          <w:rFonts w:ascii="Inter" w:hAnsi="Inter" w:eastAsia="Inter" w:cs="Inter"/>
        </w:rPr>
        <w:t>Multi-Platform Work</w:t>
      </w:r>
    </w:p>
    <w:p>
      <w:pPr>
        <w:pStyle w:val="ListBullet"/>
        <w:spacing w:after="44"/>
      </w:pPr>
      <w:r>
        <w:rPr>
          <w:rFonts w:ascii="Inter" w:hAnsi="Inter" w:eastAsia="Inter" w:cs="Inter"/>
        </w:rPr>
        <w:t>An "asset" is the core piece of content before channel adaptation.</w:t>
      </w:r>
    </w:p>
    <w:p>
      <w:pPr>
        <w:pStyle w:val="ListBullet"/>
        <w:spacing w:after="44"/>
      </w:pPr>
      <w:r>
        <w:rPr>
          <w:rFonts w:ascii="Inter" w:hAnsi="Inter" w:eastAsia="Inter" w:cs="Inter"/>
        </w:rPr>
        <w:t>The same asset deployed to four channels counts as four platform renditions for channel-operations pricing.</w:t>
      </w:r>
    </w:p>
    <w:p>
      <w:pPr>
        <w:pStyle w:val="ListBullet"/>
        <w:spacing w:after="44"/>
      </w:pPr>
      <w:r>
        <w:rPr>
          <w:rFonts w:ascii="Inter" w:hAnsi="Inter" w:eastAsia="Inter" w:cs="Inter"/>
        </w:rPr>
        <w:t>If an asset is not published to a given channel, that channel's per-asset adaptation charge does not apply.</w:t>
      </w:r>
    </w:p>
    <w:p>
      <w:pPr>
        <w:pStyle w:val="ListBullet"/>
        <w:spacing w:after="44"/>
      </w:pPr>
      <w:r>
        <w:rPr>
          <w:rFonts w:ascii="Inter" w:hAnsi="Inter" w:eastAsia="Inter" w:cs="Inter"/>
        </w:rPr>
        <w:t>Channel base fees remain active while USATII is responsible for the channel's operations during that month.</w:t>
      </w:r>
    </w:p>
    <w:p>
      <w:pPr>
        <w:pStyle w:val="Heading3"/>
      </w:pPr>
      <w:r>
        <w:rPr>
          <w:rFonts w:ascii="Inter" w:hAnsi="Inter" w:eastAsia="Inter" w:cs="Inter"/>
        </w:rPr>
        <w:t>Software</w:t>
      </w:r>
    </w:p>
    <w:p>
      <w:pPr>
        <w:pStyle w:val="ListBullet"/>
        <w:spacing w:after="44"/>
      </w:pPr>
      <w:r>
        <w:rPr>
          <w:rFonts w:ascii="Inter" w:hAnsi="Inter" w:eastAsia="Inter" w:cs="Inter"/>
        </w:rPr>
        <w:t>Fixed-scope software is quoted at project value.</w:t>
      </w:r>
    </w:p>
    <w:p>
      <w:pPr>
        <w:pStyle w:val="ListBullet"/>
        <w:spacing w:after="44"/>
      </w:pPr>
      <w:r>
        <w:rPr>
          <w:rFonts w:ascii="Inter" w:hAnsi="Inter" w:eastAsia="Inter" w:cs="Inter"/>
        </w:rPr>
        <w:t>The $45/hour rate applies to open-ended work, additions, maintenance, changes, and work explicitly sold hourly.</w:t>
      </w:r>
    </w:p>
    <w:p>
      <w:pPr>
        <w:pStyle w:val="ListBullet"/>
        <w:spacing w:after="44"/>
      </w:pPr>
      <w:r>
        <w:rPr>
          <w:rFonts w:ascii="Inter" w:hAnsi="Inter" w:eastAsia="Inter" w:cs="Inter"/>
        </w:rPr>
        <w:t>Third-party API, infrastructure, telephony, payment-processing, model-inference, and licensing costs are separate unless included in writing.</w:t>
      </w:r>
    </w:p>
    <w:p>
      <w:pPr>
        <w:pStyle w:val="ListBullet"/>
        <w:spacing w:after="44"/>
      </w:pPr>
      <w:r>
        <w:rPr>
          <w:rFonts w:ascii="Inter" w:hAnsi="Inter" w:eastAsia="Inter" w:cs="Inter"/>
        </w:rPr>
        <w:t>Custom software scope must identify data migration, integrations, roles/permissions, reporting, mobile requirements, security obligations, and acceptance criteria.</w:t>
      </w:r>
    </w:p>
    <w:p>
      <w:pPr>
        <w:pStyle w:val="Heading3"/>
      </w:pPr>
      <w:r>
        <w:rPr>
          <w:rFonts w:ascii="Inter" w:hAnsi="Inter" w:eastAsia="Inter" w:cs="Inter"/>
        </w:rPr>
        <w:t>Paid Media</w:t>
      </w:r>
    </w:p>
    <w:p>
      <w:pPr>
        <w:pStyle w:val="ListBullet"/>
        <w:spacing w:after="44"/>
      </w:pPr>
      <w:r>
        <w:rPr>
          <w:rFonts w:ascii="Inter" w:hAnsi="Inter" w:eastAsia="Inter" w:cs="Inter"/>
        </w:rPr>
        <w:t>Ad spend is economically separate from USATII's fee.</w:t>
      </w:r>
    </w:p>
    <w:p>
      <w:pPr>
        <w:pStyle w:val="ListBullet"/>
        <w:spacing w:after="44"/>
      </w:pPr>
      <w:r>
        <w:rPr>
          <w:rFonts w:ascii="Inter" w:hAnsi="Inter" w:eastAsia="Inter" w:cs="Inter"/>
        </w:rPr>
        <w:t>Client-direct media payment is preferred where practical.</w:t>
      </w:r>
    </w:p>
    <w:p>
      <w:pPr>
        <w:pStyle w:val="ListBullet"/>
        <w:spacing w:after="44"/>
      </w:pPr>
      <w:r>
        <w:rPr>
          <w:rFonts w:ascii="Inter" w:hAnsi="Inter" w:eastAsia="Inter" w:cs="Inter"/>
        </w:rPr>
        <w:t>If USATII fronts media, the invoice explicitly separates media budget from management economics.</w:t>
      </w:r>
    </w:p>
    <w:p>
      <w:pPr>
        <w:pStyle w:val="Heading3"/>
      </w:pPr>
      <w:r>
        <w:rPr>
          <w:rFonts w:ascii="Inter" w:hAnsi="Inter" w:eastAsia="Inter" w:cs="Inter"/>
        </w:rPr>
        <w:t>Taxes &amp; Procurement</w:t>
      </w:r>
    </w:p>
    <w:p>
      <w:pPr>
        <w:pStyle w:val="ListBullet"/>
        <w:spacing w:after="44"/>
      </w:pPr>
      <w:r>
        <w:rPr>
          <w:rFonts w:ascii="Inter" w:hAnsi="Inter" w:eastAsia="Inter" w:cs="Inter"/>
        </w:rPr>
        <w:t>Prices exclude applicable sales/use taxes unless otherwise stated.</w:t>
      </w:r>
    </w:p>
    <w:p>
      <w:pPr>
        <w:pStyle w:val="ListBullet"/>
        <w:spacing w:after="44"/>
      </w:pPr>
      <w:r>
        <w:rPr>
          <w:rFonts w:ascii="Inter" w:hAnsi="Inter" w:eastAsia="Inter" w:cs="Inter"/>
        </w:rPr>
        <w:t>Government, public-sector, higher-education, or enterprise procurement requirements can change implementation and support pricing.</w:t>
      </w:r>
    </w:p>
    <w:p>
      <w:pPr>
        <w:pStyle w:val="ListBullet"/>
        <w:spacing w:after="44"/>
      </w:pPr>
      <w:r>
        <w:rPr>
          <w:rFonts w:ascii="Inter" w:hAnsi="Inter" w:eastAsia="Inter" w:cs="Inter"/>
        </w:rPr>
        <w:t>Long-term agreements, large guaranteed volumes, or multi-department rollouts may receive custom commercial terms.</w:t>
      </w:r>
    </w:p>
    <w:p>
      <w:pPr>
        <w:pStyle w:val="Heading3"/>
      </w:pPr>
      <w:r>
        <w:rPr>
          <w:rFonts w:ascii="Inter" w:hAnsi="Inter" w:eastAsia="Inter" w:cs="Inter"/>
        </w:rPr>
        <w:t>USATII Positioning</w:t>
      </w:r>
    </w:p>
    <w:p>
      <w:pPr>
        <w:spacing w:after="44"/>
        <w:ind w:left="374" w:hanging="374"/>
      </w:pPr>
      <w:r>
        <w:rPr>
          <w:rFonts w:ascii="Inter" w:hAnsi="Inter" w:eastAsia="Inter" w:cs="Inter"/>
        </w:rPr>
        <w:t xml:space="preserve">1.  </w:t>
      </w:r>
      <w:r>
        <w:rPr>
          <w:rFonts w:ascii="Inter" w:hAnsi="Inter" w:eastAsia="Inter" w:cs="Inter"/>
          <w:b/>
        </w:rPr>
        <w:t>BUILD</w:t>
      </w:r>
      <w:r>
        <w:rPr>
          <w:rFonts w:ascii="Inter" w:hAnsi="Inter" w:eastAsia="Inter" w:cs="Inter"/>
        </w:rPr>
        <w:t xml:space="preserve"> USATII builds the infrastructure: websites, OASIS deployments, CRM/intake, analytics, workflows, PBX, portals, databases, automations, and custom operating systems.</w:t>
      </w:r>
    </w:p>
    <w:p>
      <w:pPr>
        <w:spacing w:after="44"/>
        <w:ind w:left="374" w:hanging="374"/>
      </w:pPr>
      <w:r>
        <w:rPr>
          <w:rFonts w:ascii="Inter" w:hAnsi="Inter" w:eastAsia="Inter" w:cs="Inter"/>
        </w:rPr>
        <w:t xml:space="preserve">2.  </w:t>
      </w:r>
      <w:r>
        <w:rPr>
          <w:rFonts w:ascii="Inter" w:hAnsi="Inter" w:eastAsia="Inter" w:cs="Inter"/>
          <w:b/>
        </w:rPr>
        <w:t>DESIGN</w:t>
      </w:r>
      <w:r>
        <w:rPr>
          <w:rFonts w:ascii="Inter" w:hAnsi="Inter" w:eastAsia="Inter" w:cs="Inter"/>
        </w:rPr>
        <w:t xml:space="preserve"> USATII acts as the design partner: brand systems, UI/UX, content, creative, messaging, conversion architecture, and communications workflows.</w:t>
      </w:r>
    </w:p>
    <w:p>
      <w:pPr>
        <w:spacing w:after="44"/>
        <w:ind w:left="374" w:hanging="374"/>
      </w:pPr>
      <w:r>
        <w:rPr>
          <w:rFonts w:ascii="Inter" w:hAnsi="Inter" w:eastAsia="Inter" w:cs="Inter"/>
        </w:rPr>
        <w:t xml:space="preserve">3.  </w:t>
      </w:r>
      <w:r>
        <w:rPr>
          <w:rFonts w:ascii="Inter" w:hAnsi="Inter" w:eastAsia="Inter" w:cs="Inter"/>
          <w:b/>
        </w:rPr>
        <w:t>OPERATE</w:t>
      </w:r>
      <w:r>
        <w:rPr>
          <w:rFonts w:ascii="Inter" w:hAnsi="Inter" w:eastAsia="Inter" w:cs="Inter"/>
        </w:rPr>
        <w:t xml:space="preserve"> USATII can run the resulting machine: editing, publishing, SEO, paid acquisition, community management, reporting, intake workflows, optimization, and operational support.</w:t>
      </w:r>
    </w:p>
    <w:p>
      <w:pPr>
        <w:spacing w:after="44"/>
        <w:ind w:left="374" w:hanging="374"/>
      </w:pPr>
      <w:r>
        <w:rPr>
          <w:rFonts w:ascii="Inter" w:hAnsi="Inter" w:eastAsia="Inter" w:cs="Inter"/>
        </w:rPr>
        <w:t xml:space="preserve">4.  </w:t>
      </w:r>
      <w:r>
        <w:rPr>
          <w:rFonts w:ascii="Inter" w:hAnsi="Inter" w:eastAsia="Inter" w:cs="Inter"/>
          <w:b/>
        </w:rPr>
        <w:t>TRANSFER</w:t>
      </w:r>
      <w:r>
        <w:rPr>
          <w:rFonts w:ascii="Inter" w:hAnsi="Inter" w:eastAsia="Inter" w:cs="Inter"/>
        </w:rPr>
        <w:t xml:space="preserve"> Clients can progressively bring execution in-house without discarding the infrastructure already built for them.</w:t>
      </w:r>
    </w:p>
    <w:sectPr w:rsidR="00FC693F" w:rsidRPr="0006063C" w:rsidSect="00034616">
      <w:headerReference w:type="default" r:id="rId9"/>
      <w:footerReference w:type="default" r:id="rId10"/>
      <w:pgSz w:w="12240" w:h="15840"/>
      <w:pgMar w:top="3053" w:right="864" w:bottom="806" w:left="864" w:header="360" w:footer="20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eastAsia="Inter" w:cs="Inter"/>
        <w:color w:val="62666D"/>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184"/>
      <w:gridCol w:w="5328"/>
    </w:tblGrid>
    <w:tr>
      <w:tc>
        <w:tcPr>
          <w:tcW w:type="dxa" w:w="5184"/>
          <w:tcMar>
            <w:top w:w="0" w:type="dxa"/>
            <w:start w:w="0" w:type="dxa"/>
            <w:bottom w:w="0" w:type="dxa"/>
            <w:end w:w="0" w:type="dxa"/>
          </w:tcMar>
        </w:tcPr>
        <w:p>
          <w:pPr>
            <w:spacing w:after="60"/>
          </w:pPr>
          <w:r>
            <w:rPr>
              <w:rFonts w:ascii="Inter" w:hAnsi="Inter" w:eastAsia="Inter" w:cs="Inter"/>
            </w:rPr>
            <w:drawing>
              <wp:inline xmlns:a="http://schemas.openxmlformats.org/drawingml/2006/main" xmlns:pic="http://schemas.openxmlformats.org/drawingml/2006/picture">
                <wp:extent cx="1417320" cy="185271"/>
                <wp:docPr id="1" name="Picture 1"/>
                <wp:cNvGraphicFramePr>
                  <a:graphicFrameLocks noChangeAspect="1"/>
                </wp:cNvGraphicFramePr>
                <a:graphic>
                  <a:graphicData uri="http://schemas.openxmlformats.org/drawingml/2006/picture">
                    <pic:pic>
                      <pic:nvPicPr>
                        <pic:cNvPr id="0" name="usatii-media-header-logo.png"/>
                        <pic:cNvPicPr/>
                      </pic:nvPicPr>
                      <pic:blipFill>
                        <a:blip r:embed="rId1"/>
                        <a:stretch>
                          <a:fillRect/>
                        </a:stretch>
                      </pic:blipFill>
                      <pic:spPr>
                        <a:xfrm>
                          <a:off x="0" y="0"/>
                          <a:ext cx="1417320" cy="185271"/>
                        </a:xfrm>
                        <a:prstGeom prst="rect"/>
                      </pic:spPr>
                    </pic:pic>
                  </a:graphicData>
                </a:graphic>
              </wp:inline>
            </w:drawing>
          </w:r>
        </w:p>
        <w:p>
          <w:pPr>
            <w:spacing w:after="0" w:line="247" w:lineRule="auto"/>
          </w:pPr>
          <w:r>
            <w:rPr>
              <w:rFonts w:ascii="Inter" w:hAnsi="Inter" w:eastAsia="Inter" w:cs="Inter"/>
              <w:color w:val="111318"/>
              <w:sz w:val="17"/>
            </w:rPr>
            <w:t>Usatii Media</w:t>
            <w:br/>
            <w:t>usatii.com</w:t>
            <w:br/>
            <w:t>vlad@usatii.com</w:t>
          </w:r>
        </w:p>
      </w:tc>
      <w:tc>
        <w:tcPr>
          <w:tcW w:type="dxa" w:w="5328"/>
          <w:tcMar>
            <w:top w:w="0" w:type="dxa"/>
            <w:start w:w="0" w:type="dxa"/>
            <w:bottom w:w="0" w:type="dxa"/>
            <w:end w:w="0" w:type="dxa"/>
          </w:tcMar>
        </w:tcPr>
        <w:p/>
        <w:tbl>
          <w:tblPr>
            <w:tblW w:type="auto" w:w="0"/>
            <w:tblLayout w:type="fixed"/>
            <w:tblLook w:firstColumn="1" w:firstRow="1" w:lastColumn="0" w:lastRow="0" w:noHBand="0" w:noVBand="1" w:val="04A0"/>
          </w:tblPr>
          <w:tblGrid>
            <w:gridCol w:w="1699"/>
            <w:gridCol w:w="3341"/>
          </w:tblGrid>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Date</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Document details</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August 2026</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Comprehensive Price Sheet</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Prepared by</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center"/>
                </w:pPr>
                <w:r>
                  <w:rPr>
                    <w:rFonts w:ascii="Inter" w:hAnsi="Inter" w:eastAsia="Inter" w:cs="Inter"/>
                    <w:b/>
                    <w:color w:val="111318"/>
                    <w:sz w:val="15"/>
                  </w:rPr>
                  <w:t>Prepared for</w:t>
                </w:r>
              </w:p>
            </w:tc>
          </w:tr>
          <w:tr>
            <w:tc>
              <w:tcPr>
                <w:tcW w:type="dxa" w:w="1699"/>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Vladislav Usatii</w:t>
                </w:r>
              </w:p>
            </w:tc>
            <w:tc>
              <w:tcPr>
                <w:tcW w:type="dxa" w:w="3341"/>
                <w:tcMar>
                  <w:top w:w="45" w:type="dxa"/>
                  <w:start w:w="65" w:type="dxa"/>
                  <w:bottom w:w="45" w:type="dxa"/>
                  <w:end w:w="65" w:type="dxa"/>
                </w:tcMar>
                <w:tcBorders>
                  <w:top w:val="single" w:sz="4" w:color="333333"/>
                  <w:left w:val="single" w:sz="4" w:color="333333"/>
                  <w:bottom w:val="single" w:sz="4" w:color="333333"/>
                  <w:right w:val="single" w:sz="4" w:color="333333"/>
                </w:tcBorders>
              </w:tcPr>
              <w:p>
                <w:pPr>
                  <w:spacing w:after="0"/>
                  <w:jc w:val="left"/>
                </w:pPr>
                <w:r>
                  <w:rPr>
                    <w:rFonts w:ascii="Inter" w:hAnsi="Inter" w:eastAsia="Inter" w:cs="Inter"/>
                    <w:b w:val="0"/>
                    <w:color w:val="111318"/>
                    <w:sz w:val="14"/>
                  </w:rPr>
                  <w:t>Clients &amp; Partners</w:t>
                </w:r>
              </w:p>
            </w:tc>
          </w:tr>
        </w:tbl>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Inter" w:hAnsi="Inter" w:eastAsia="Inter" w:cs="Inter"/>
      <w:color w:val="11131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HeaderChar">
    <w:name w:val="Header Char"/>
    <w:basedOn w:val="DefaultParagraphFont"/>
    <w:link w:val="Header"/>
    <w:uiPriority w:val="99"/>
    <w:rsid w:val="00E618BF"/>
    <w:rPr>
      <w:rFonts w:ascii="Inter" w:hAnsi="Inter" w:eastAsia="Inter" w:cs="Inte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eastAsia="Inter" w:cs="Inter"/>
    </w:rPr>
  </w:style>
  <w:style w:type="character" w:customStyle="1" w:styleId="FooterChar">
    <w:name w:val="Footer Char"/>
    <w:basedOn w:val="DefaultParagraphFont"/>
    <w:link w:val="Footer"/>
    <w:uiPriority w:val="99"/>
    <w:rsid w:val="00E618BF"/>
    <w:rPr>
      <w:rFonts w:ascii="Inter" w:hAnsi="Inter" w:eastAsia="Inter" w:cs="Inter"/>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Inter" w:hAnsi="Inter" w:eastAsia="Inter" w:cs="Inter"/>
      <w:b/>
      <w:bCs/>
      <w:color w:val="111318"/>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cs="Inter"/>
      <w:b/>
      <w:bCs/>
      <w:color w:val="111318"/>
      <w:sz w:val="2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eastAsia="Inter" w:cs="Inter"/>
      <w:b/>
      <w:bCs/>
      <w:color w:val="111318"/>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eastAsia="Inter" w:cs="Inte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eastAsia="Inter" w:cs="Inte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eastAsia="Inter" w:cs="Inte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eastAsia="Inter" w:cs="Inte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eastAsia="Inter" w:cs="Inte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eastAsia="Inter" w:cs="Inter"/>
      <w:i/>
      <w:iCs/>
      <w:color w:val="404040" w:themeColor="text1" w:themeTint="BF"/>
      <w:sz w:val="20"/>
      <w:szCs w:val="20"/>
    </w:rPr>
  </w:style>
  <w:style w:type="character" w:default="1" w:styleId="DefaultParagraphFont">
    <w:name w:val="Default Paragraph Font"/>
    <w:uiPriority w:val="1"/>
    <w:semiHidden/>
    <w:unhideWhenUsed/>
    <w:rPr>
      <w:rFonts w:ascii="Inter" w:hAnsi="Inter" w:eastAsia="Inter" w:cs="Inter"/>
    </w:rPr>
  </w:style>
  <w:style w:type="table" w:default="1" w:styleId="TableNormal">
    <w:name w:val="Normal Table"/>
    <w:uiPriority w:val="99"/>
    <w:semiHidden/>
    <w:unhideWhenUsed/>
    <w:rPr>
      <w:rFonts w:ascii="Inter" w:hAnsi="Inter" w:eastAsia="Inter" w:cs="Inter"/>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eastAsia="Inter" w:cs="Inte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Inter" w:hAnsi="Inter" w:eastAsia="Inter" w:cs="Inte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Inter" w:hAnsi="Inter" w:eastAsia="Inter" w:cs="Inte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Inter" w:hAnsi="Inter" w:eastAsia="Inter" w:cs="Inter"/>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Inter" w:hAnsi="Inter" w:eastAsia="Inter" w:cs="Inter"/>
      <w:b/>
      <w:color w:val="11131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Inter" w:hAnsi="Inter" w:eastAsia="Inter" w:cs="Inte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cs="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Inter" w:hAnsi="Inter" w:eastAsia="Inter" w:cs="Inte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eastAsia="Inter" w:cs="Inter"/>
    </w:rPr>
  </w:style>
  <w:style w:type="paragraph" w:styleId="BodyText">
    <w:name w:val="Body Text"/>
    <w:basedOn w:val="Normal"/>
    <w:link w:val="BodyTextChar"/>
    <w:uiPriority w:val="99"/>
    <w:unhideWhenUsed/>
    <w:rsid w:val="00AA1D8D"/>
    <w:pPr>
      <w:spacing w:after="120"/>
    </w:pPr>
    <w:rPr>
      <w:rFonts w:ascii="Inter" w:hAnsi="Inter" w:eastAsia="Inter" w:cs="Inter"/>
    </w:rPr>
  </w:style>
  <w:style w:type="character" w:customStyle="1" w:styleId="BodyTextChar">
    <w:name w:val="Body Text Char"/>
    <w:basedOn w:val="DefaultParagraphFont"/>
    <w:link w:val="BodyText"/>
    <w:uiPriority w:val="99"/>
    <w:rsid w:val="00AA1D8D"/>
    <w:rPr>
      <w:rFonts w:ascii="Inter" w:hAnsi="Inter" w:eastAsia="Inter" w:cs="Inter"/>
    </w:rPr>
  </w:style>
  <w:style w:type="paragraph" w:styleId="BodyText2">
    <w:name w:val="Body Text 2"/>
    <w:basedOn w:val="Normal"/>
    <w:link w:val="BodyText2Char"/>
    <w:uiPriority w:val="99"/>
    <w:unhideWhenUsed/>
    <w:rsid w:val="00AA1D8D"/>
    <w:pPr>
      <w:spacing w:after="120" w:line="480" w:lineRule="auto"/>
    </w:pPr>
    <w:rPr>
      <w:rFonts w:ascii="Inter" w:hAnsi="Inter" w:eastAsia="Inter" w:cs="Inter"/>
    </w:rPr>
  </w:style>
  <w:style w:type="character" w:customStyle="1" w:styleId="BodyText2Char">
    <w:name w:val="Body Text 2 Char"/>
    <w:basedOn w:val="DefaultParagraphFont"/>
    <w:link w:val="BodyText2"/>
    <w:uiPriority w:val="99"/>
    <w:rsid w:val="00AA1D8D"/>
    <w:rPr>
      <w:rFonts w:ascii="Inter" w:hAnsi="Inter" w:eastAsia="Inter" w:cs="Inter"/>
    </w:rPr>
  </w:style>
  <w:style w:type="paragraph" w:styleId="BodyText3">
    <w:name w:val="Body Text 3"/>
    <w:basedOn w:val="Normal"/>
    <w:link w:val="BodyText3Char"/>
    <w:uiPriority w:val="99"/>
    <w:unhideWhenUsed/>
    <w:rsid w:val="00AA1D8D"/>
    <w:pPr>
      <w:spacing w:after="120"/>
    </w:pPr>
    <w:rPr>
      <w:rFonts w:ascii="Inter" w:hAnsi="Inter" w:eastAsia="Inter" w:cs="Inter"/>
      <w:sz w:val="16"/>
      <w:szCs w:val="16"/>
    </w:rPr>
  </w:style>
  <w:style w:type="character" w:customStyle="1" w:styleId="BodyText3Char">
    <w:name w:val="Body Text 3 Char"/>
    <w:basedOn w:val="DefaultParagraphFont"/>
    <w:link w:val="BodyText3"/>
    <w:uiPriority w:val="99"/>
    <w:rsid w:val="00AA1D8D"/>
    <w:rPr>
      <w:rFonts w:ascii="Inter" w:hAnsi="Inter" w:eastAsia="Inter" w:cs="Inter"/>
      <w:sz w:val="16"/>
      <w:szCs w:val="16"/>
    </w:rPr>
  </w:style>
  <w:style w:type="paragraph" w:styleId="List">
    <w:name w:val="List"/>
    <w:basedOn w:val="Normal"/>
    <w:uiPriority w:val="99"/>
    <w:unhideWhenUsed/>
    <w:rsid w:val="00AA1D8D"/>
    <w:pPr>
      <w:ind w:left="360" w:hanging="360"/>
      <w:contextualSpacing/>
    </w:pPr>
    <w:rPr>
      <w:rFonts w:ascii="Inter" w:hAnsi="Inter" w:eastAsia="Inter" w:cs="Inter"/>
    </w:rPr>
  </w:style>
  <w:style w:type="paragraph" w:styleId="List2">
    <w:name w:val="List 2"/>
    <w:basedOn w:val="Normal"/>
    <w:uiPriority w:val="99"/>
    <w:unhideWhenUsed/>
    <w:rsid w:val="00326F90"/>
    <w:pPr>
      <w:ind w:left="720" w:hanging="360"/>
      <w:contextualSpacing/>
    </w:pPr>
    <w:rPr>
      <w:rFonts w:ascii="Inter" w:hAnsi="Inter" w:eastAsia="Inter" w:cs="Inter"/>
    </w:rPr>
  </w:style>
  <w:style w:type="paragraph" w:styleId="List3">
    <w:name w:val="List 3"/>
    <w:basedOn w:val="Normal"/>
    <w:uiPriority w:val="99"/>
    <w:unhideWhenUsed/>
    <w:rsid w:val="00326F90"/>
    <w:pPr>
      <w:ind w:left="1080" w:hanging="360"/>
      <w:contextualSpacing/>
    </w:pPr>
    <w:rPr>
      <w:rFonts w:ascii="Inter" w:hAnsi="Inter" w:eastAsia="Inter" w:cs="Inter"/>
    </w:rPr>
  </w:style>
  <w:style w:type="paragraph" w:styleId="ListBullet">
    <w:name w:val="List Bullet"/>
    <w:basedOn w:val="Normal"/>
    <w:uiPriority w:val="99"/>
    <w:unhideWhenUsed/>
    <w:rsid w:val="00326F90"/>
    <w:pPr>
      <w:numPr>
        <w:numId w:val="1"/>
      </w:numPr>
      <w:contextualSpacing/>
    </w:pPr>
    <w:rPr>
      <w:rFonts w:ascii="Inter" w:hAnsi="Inter" w:eastAsia="Inter" w:cs="Inter"/>
    </w:rPr>
  </w:style>
  <w:style w:type="paragraph" w:styleId="ListBullet2">
    <w:name w:val="List Bullet 2"/>
    <w:basedOn w:val="Normal"/>
    <w:uiPriority w:val="99"/>
    <w:unhideWhenUsed/>
    <w:rsid w:val="00326F90"/>
    <w:pPr>
      <w:numPr>
        <w:numId w:val="2"/>
      </w:numPr>
      <w:contextualSpacing/>
    </w:pPr>
    <w:rPr>
      <w:rFonts w:ascii="Inter" w:hAnsi="Inter" w:eastAsia="Inter" w:cs="Inter"/>
    </w:rPr>
  </w:style>
  <w:style w:type="paragraph" w:styleId="ListBullet3">
    <w:name w:val="List Bullet 3"/>
    <w:basedOn w:val="Normal"/>
    <w:uiPriority w:val="99"/>
    <w:unhideWhenUsed/>
    <w:rsid w:val="00326F90"/>
    <w:pPr>
      <w:numPr>
        <w:numId w:val="3"/>
      </w:numPr>
      <w:contextualSpacing/>
    </w:pPr>
    <w:rPr>
      <w:rFonts w:ascii="Inter" w:hAnsi="Inter" w:eastAsia="Inter" w:cs="Inter"/>
    </w:rPr>
  </w:style>
  <w:style w:type="paragraph" w:styleId="ListNumber">
    <w:name w:val="List Number"/>
    <w:basedOn w:val="Normal"/>
    <w:uiPriority w:val="99"/>
    <w:unhideWhenUsed/>
    <w:rsid w:val="00326F90"/>
    <w:pPr>
      <w:numPr>
        <w:numId w:val="5"/>
      </w:numPr>
      <w:contextualSpacing/>
    </w:pPr>
    <w:rPr>
      <w:rFonts w:ascii="Inter" w:hAnsi="Inter" w:eastAsia="Inter" w:cs="Inter"/>
    </w:rPr>
  </w:style>
  <w:style w:type="paragraph" w:styleId="ListNumber2">
    <w:name w:val="List Number 2"/>
    <w:basedOn w:val="Normal"/>
    <w:uiPriority w:val="99"/>
    <w:unhideWhenUsed/>
    <w:rsid w:val="0029639D"/>
    <w:pPr>
      <w:numPr>
        <w:numId w:val="6"/>
      </w:numPr>
      <w:contextualSpacing/>
    </w:pPr>
    <w:rPr>
      <w:rFonts w:ascii="Inter" w:hAnsi="Inter" w:eastAsia="Inter" w:cs="Inter"/>
    </w:rPr>
  </w:style>
  <w:style w:type="paragraph" w:styleId="ListNumber3">
    <w:name w:val="List Number 3"/>
    <w:basedOn w:val="Normal"/>
    <w:uiPriority w:val="99"/>
    <w:unhideWhenUsed/>
    <w:rsid w:val="0029639D"/>
    <w:pPr>
      <w:numPr>
        <w:numId w:val="7"/>
      </w:numPr>
      <w:contextualSpacing/>
    </w:pPr>
    <w:rPr>
      <w:rFonts w:ascii="Inter" w:hAnsi="Inter" w:eastAsia="Inter" w:cs="Inter"/>
    </w:rPr>
  </w:style>
  <w:style w:type="paragraph" w:styleId="ListContinue">
    <w:name w:val="List Continue"/>
    <w:basedOn w:val="Normal"/>
    <w:uiPriority w:val="99"/>
    <w:unhideWhenUsed/>
    <w:rsid w:val="0029639D"/>
    <w:pPr>
      <w:spacing w:after="120"/>
      <w:ind w:left="360"/>
      <w:contextualSpacing/>
    </w:pPr>
    <w:rPr>
      <w:rFonts w:ascii="Inter" w:hAnsi="Inter" w:eastAsia="Inter" w:cs="Inter"/>
    </w:rPr>
  </w:style>
  <w:style w:type="paragraph" w:styleId="ListContinue2">
    <w:name w:val="List Continue 2"/>
    <w:basedOn w:val="Normal"/>
    <w:uiPriority w:val="99"/>
    <w:unhideWhenUsed/>
    <w:rsid w:val="0029639D"/>
    <w:pPr>
      <w:spacing w:after="120"/>
      <w:ind w:left="720"/>
      <w:contextualSpacing/>
    </w:pPr>
    <w:rPr>
      <w:rFonts w:ascii="Inter" w:hAnsi="Inter" w:eastAsia="Inter" w:cs="Inter"/>
    </w:rPr>
  </w:style>
  <w:style w:type="paragraph" w:styleId="ListContinue3">
    <w:name w:val="List Continue 3"/>
    <w:basedOn w:val="Normal"/>
    <w:uiPriority w:val="99"/>
    <w:unhideWhenUsed/>
    <w:rsid w:val="0029639D"/>
    <w:pPr>
      <w:spacing w:after="120"/>
      <w:ind w:left="1080"/>
      <w:contextualSpacing/>
    </w:pPr>
    <w:rPr>
      <w:rFonts w:ascii="Inter" w:hAnsi="Inter" w:eastAsia="Inter" w:cs="Inte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eastAsia="Inter" w:cs="Inter"/>
      <w:sz w:val="20"/>
      <w:szCs w:val="20"/>
    </w:rPr>
  </w:style>
  <w:style w:type="character" w:customStyle="1" w:styleId="MacroTextChar">
    <w:name w:val="Macro Text Char"/>
    <w:basedOn w:val="DefaultParagraphFont"/>
    <w:link w:val="MacroText"/>
    <w:uiPriority w:val="99"/>
    <w:rsid w:val="0029639D"/>
    <w:rPr>
      <w:rFonts w:ascii="Inter" w:hAnsi="Inter" w:eastAsia="Inter" w:cs="Inter"/>
      <w:sz w:val="20"/>
      <w:szCs w:val="20"/>
    </w:rPr>
  </w:style>
  <w:style w:type="paragraph" w:styleId="Quote">
    <w:name w:val="Quote"/>
    <w:basedOn w:val="Normal"/>
    <w:next w:val="Normal"/>
    <w:link w:val="QuoteChar"/>
    <w:uiPriority w:val="29"/>
    <w:qFormat/>
    <w:rsid w:val="00FC693F"/>
    <w:rPr>
      <w:rFonts w:ascii="Inter" w:hAnsi="Inter" w:eastAsia="Inter" w:cs="Inter"/>
      <w:i/>
      <w:iCs/>
      <w:color w:val="000000" w:themeColor="text1"/>
    </w:rPr>
  </w:style>
  <w:style w:type="character" w:customStyle="1" w:styleId="QuoteChar">
    <w:name w:val="Quote Char"/>
    <w:basedOn w:val="DefaultParagraphFont"/>
    <w:link w:val="Quote"/>
    <w:uiPriority w:val="29"/>
    <w:rsid w:val="00FC693F"/>
    <w:rPr>
      <w:rFonts w:ascii="Inter" w:hAnsi="Inter" w:eastAsia="Inter" w:cs="Inte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Inter" w:hAnsi="Inter" w:eastAsia="Inter" w:cs="Inte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Inter" w:hAnsi="Inter" w:eastAsia="Inter" w:cs="Inte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Inter" w:hAnsi="Inter" w:eastAsia="Inter" w:cs="Inte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Inter" w:hAnsi="Inter" w:eastAsia="Inter" w:cs="Inte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Inter" w:hAnsi="Inter" w:eastAsia="Inter" w:cs="Inte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Inter" w:hAnsi="Inter" w:eastAsia="Inter" w:cs="Inte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eastAsia="Inter" w:cs="Inter"/>
      <w:b/>
      <w:bCs/>
      <w:color w:val="4F81BD" w:themeColor="accent1"/>
      <w:sz w:val="18"/>
      <w:szCs w:val="18"/>
    </w:rPr>
  </w:style>
  <w:style w:type="character" w:styleId="Strong">
    <w:name w:val="Strong"/>
    <w:basedOn w:val="DefaultParagraphFont"/>
    <w:uiPriority w:val="22"/>
    <w:qFormat/>
    <w:rsid w:val="00FC693F"/>
    <w:rPr>
      <w:rFonts w:ascii="Inter" w:hAnsi="Inter" w:eastAsia="Inter" w:cs="Inter"/>
      <w:b/>
      <w:bCs/>
    </w:rPr>
  </w:style>
  <w:style w:type="character" w:styleId="Emphasis">
    <w:name w:val="Emphasis"/>
    <w:basedOn w:val="DefaultParagraphFont"/>
    <w:uiPriority w:val="20"/>
    <w:qFormat/>
    <w:rsid w:val="00FC693F"/>
    <w:rPr>
      <w:rFonts w:ascii="Inter" w:hAnsi="Inter" w:eastAsia="Inter" w:cs="Inte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Inter" w:hAnsi="Inter" w:eastAsia="Inter" w:cs="Inter"/>
      <w:b/>
      <w:bCs/>
      <w:i/>
      <w:iCs/>
      <w:color w:val="4F81BD" w:themeColor="accent1"/>
    </w:rPr>
  </w:style>
  <w:style w:type="character" w:customStyle="1" w:styleId="IntenseQuoteChar">
    <w:name w:val="Intense Quote Char"/>
    <w:basedOn w:val="DefaultParagraphFont"/>
    <w:link w:val="IntenseQuote"/>
    <w:uiPriority w:val="30"/>
    <w:rsid w:val="00FC693F"/>
    <w:rPr>
      <w:rFonts w:ascii="Inter" w:hAnsi="Inter" w:eastAsia="Inter" w:cs="Inter"/>
      <w:b/>
      <w:bCs/>
      <w:i/>
      <w:iCs/>
      <w:color w:val="4F81BD" w:themeColor="accent1"/>
    </w:rPr>
  </w:style>
  <w:style w:type="character" w:styleId="SubtleEmphasis">
    <w:name w:val="Subtle Emphasis"/>
    <w:basedOn w:val="DefaultParagraphFont"/>
    <w:uiPriority w:val="19"/>
    <w:qFormat/>
    <w:rsid w:val="00FC693F"/>
    <w:rPr>
      <w:rFonts w:ascii="Inter" w:hAnsi="Inter" w:eastAsia="Inter" w:cs="Inter"/>
      <w:i/>
      <w:iCs/>
      <w:color w:val="808080" w:themeColor="text1" w:themeTint="7F"/>
    </w:rPr>
  </w:style>
  <w:style w:type="character" w:styleId="IntenseEmphasis">
    <w:name w:val="Intense Emphasis"/>
    <w:basedOn w:val="DefaultParagraphFont"/>
    <w:uiPriority w:val="21"/>
    <w:qFormat/>
    <w:rsid w:val="00FC693F"/>
    <w:rPr>
      <w:rFonts w:ascii="Inter" w:hAnsi="Inter" w:eastAsia="Inter" w:cs="Inter"/>
      <w:b/>
      <w:bCs/>
      <w:i/>
      <w:iCs/>
      <w:color w:val="4F81BD" w:themeColor="accent1"/>
    </w:rPr>
  </w:style>
  <w:style w:type="character" w:styleId="SubtleReference">
    <w:name w:val="Subtle Reference"/>
    <w:basedOn w:val="DefaultParagraphFont"/>
    <w:uiPriority w:val="31"/>
    <w:qFormat/>
    <w:rsid w:val="00FC693F"/>
    <w:rPr>
      <w:rFonts w:ascii="Inter" w:hAnsi="Inter" w:eastAsia="Inter" w:cs="Inter"/>
      <w:smallCaps/>
      <w:color w:val="C0504D" w:themeColor="accent2"/>
      <w:u w:val="single"/>
    </w:rPr>
  </w:style>
  <w:style w:type="character" w:styleId="IntenseReference">
    <w:name w:val="Intense Reference"/>
    <w:basedOn w:val="DefaultParagraphFont"/>
    <w:uiPriority w:val="32"/>
    <w:qFormat/>
    <w:rsid w:val="00FC693F"/>
    <w:rPr>
      <w:rFonts w:ascii="Inter" w:hAnsi="Inter" w:eastAsia="Inter" w:cs="Inter"/>
      <w:b/>
      <w:bCs/>
      <w:smallCaps/>
      <w:color w:val="C0504D" w:themeColor="accent2"/>
      <w:spacing w:val="5"/>
      <w:u w:val="single"/>
    </w:rPr>
  </w:style>
  <w:style w:type="character" w:styleId="BookTitle">
    <w:name w:val="Book Title"/>
    <w:basedOn w:val="DefaultParagraphFont"/>
    <w:uiPriority w:val="33"/>
    <w:qFormat/>
    <w:rsid w:val="00FC693F"/>
    <w:rPr>
      <w:rFonts w:ascii="Inter" w:hAnsi="Inter" w:eastAsia="Inter" w:cs="Inte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eastAsia="Inter" w:cs="Inter"/>
    </w:rPr>
  </w:style>
  <w:style w:type="table" w:styleId="TableGrid">
    <w:name w:val="Table Grid"/>
    <w:basedOn w:val="TableNormal"/>
    <w:uiPriority w:val="59"/>
    <w:rsid w:val="00FC693F"/>
    <w:pPr>
      <w:spacing w:after="0" w:line="240" w:lineRule="auto"/>
    </w:pPr>
    <w:rPr>
      <w:rFonts w:ascii="Inter" w:hAnsi="Inter" w:eastAsia="Inter" w:cs="Inte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Inter" w:hAnsi="Inter" w:eastAsia="Inter" w:cs="Inte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Inter" w:hAnsi="Inter" w:eastAsia="Inter" w:cs="Inte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Inter" w:hAnsi="Inter" w:eastAsia="Inter" w:cs="Inte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Inter" w:hAnsi="Inter" w:eastAsia="Inter" w:cs="Inte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Inter" w:hAnsi="Inter" w:eastAsia="Inter" w:cs="Inte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Inter" w:hAnsi="Inter" w:eastAsia="Inter" w:cs="Inte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Inter" w:hAnsi="Inter" w:eastAsia="Inter" w:cs="Inte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Inter" w:hAnsi="Inter" w:eastAsia="Inter" w:cs="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Inter" w:hAnsi="Inter" w:eastAsia="Inter" w:cs="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Inter" w:hAnsi="Inter" w:eastAsia="Inter" w:cs="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Inter" w:hAnsi="Inter" w:eastAsia="Inter" w:cs="Inte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Inter" w:hAnsi="Inter" w:eastAsia="Inter" w:cs="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Inter" w:hAnsi="Inter" w:eastAsia="Inter" w:cs="Inte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Inter" w:hAnsi="Inter" w:eastAsia="Inter" w:cs="Inte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Inter" w:hAnsi="Inter" w:eastAsia="Inter" w:cs="Inte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Inter" w:hAnsi="Inter" w:eastAsia="Inter" w:cs="Inte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Inter" w:hAnsi="Inter" w:eastAsia="Inter" w:cs="Inte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Inter" w:hAnsi="Inter" w:eastAsia="Inter" w:cs="Inte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Inter" w:hAnsi="Inter" w:eastAsia="Inter" w:cs="Inte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Inter" w:hAnsi="Inter" w:eastAsia="Inter" w:cs="Inte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