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349ACC64" w14:textId="11D9E900" w:rsidR="00493548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978148" w:history="1">
        <w:r w:rsidR="00493548" w:rsidRPr="00730E8E">
          <w:rPr>
            <w:rStyle w:val="ad"/>
            <w:noProof/>
          </w:rPr>
          <w:t>Игровой опыт в современных играх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_Toc169978148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2</w:t>
        </w:r>
        <w:r w:rsidR="00493548">
          <w:rPr>
            <w:noProof/>
            <w:webHidden/>
          </w:rPr>
          <w:fldChar w:fldCharType="end"/>
        </w:r>
      </w:hyperlink>
    </w:p>
    <w:p w14:paraId="319FE581" w14:textId="497B26E4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49" w:history="1">
        <w:r w:rsidRPr="00730E8E">
          <w:rPr>
            <w:rStyle w:val="ad"/>
            <w:noProof/>
          </w:rPr>
          <w:t>Этапы разработки игрового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46326" w14:textId="60E5D82F" w:rsidR="00493548" w:rsidRDefault="00493548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69978150" w:history="1">
        <w:r w:rsidRPr="00730E8E">
          <w:rPr>
            <w:rStyle w:val="ad"/>
            <w:noProof/>
          </w:rPr>
          <w:t>Препродакшен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C881E" w14:textId="5CCB59CC" w:rsidR="00493548" w:rsidRDefault="00493548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69978151" w:history="1">
        <w:r w:rsidRPr="00730E8E">
          <w:rPr>
            <w:rStyle w:val="ad"/>
            <w:noProof/>
          </w:rPr>
          <w:t>Выбор идеи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E9C2C" w14:textId="51B73992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2" w:history="1">
        <w:r w:rsidRPr="00730E8E">
          <w:rPr>
            <w:rStyle w:val="ad"/>
            <w:noProof/>
          </w:rPr>
          <w:t>Движок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0A2372" w14:textId="7C3459F1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3" w:history="1">
        <w:r w:rsidRPr="00730E8E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F2DACF" w14:textId="7CFE8F9F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69978148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69978149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69978150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proofErr w:type="spellStart"/>
      <w:r w:rsidRPr="008A1BF6">
        <w:t>feature</w:t>
      </w:r>
      <w:proofErr w:type="spellEnd"/>
      <w:r w:rsidRPr="008A1BF6">
        <w:t>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8A1BF6">
      <w:pPr>
        <w:pStyle w:val="32"/>
      </w:pPr>
      <w:r>
        <w:lastRenderedPageBreak/>
        <w:tab/>
      </w:r>
      <w:bookmarkStart w:id="3" w:name="_Toc169978151"/>
      <w:r>
        <w:t>Выбор идеи</w:t>
      </w:r>
      <w:bookmarkEnd w:id="3"/>
    </w:p>
    <w:p w14:paraId="21DA8148" w14:textId="77777777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 xml:space="preserve"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>Fortnite</w:t>
      </w:r>
      <w:r w:rsidR="00B5057B" w:rsidRPr="00B5057B">
        <w:t xml:space="preserve">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56CA8EE9" w14:textId="7D7D9771" w:rsidR="00A65307" w:rsidRPr="00A65307" w:rsidRDefault="00A65307" w:rsidP="00B5057B">
      <w:r>
        <w:tab/>
      </w:r>
    </w:p>
    <w:p w14:paraId="6906588A" w14:textId="77777777" w:rsidR="00F75BDA" w:rsidRPr="00814392" w:rsidRDefault="00F75BDA" w:rsidP="00814392"/>
    <w:p w14:paraId="7D55878A" w14:textId="1D4F4B56" w:rsidR="000106CA" w:rsidRPr="007130DE" w:rsidRDefault="000106CA" w:rsidP="000106CA">
      <w:pPr>
        <w:ind w:firstLine="708"/>
        <w:jc w:val="left"/>
      </w:pPr>
    </w:p>
    <w:p w14:paraId="38E170ED" w14:textId="3899BF88" w:rsidR="00C656D9" w:rsidRDefault="00C656D9">
      <w:pPr>
        <w:jc w:val="left"/>
      </w:pPr>
      <w:r w:rsidRPr="000106CA">
        <w:br w:type="page"/>
      </w:r>
      <w:r w:rsidR="00543A21">
        <w:lastRenderedPageBreak/>
        <w:t xml:space="preserve"> </w:t>
      </w:r>
    </w:p>
    <w:p w14:paraId="520AE451" w14:textId="2F62DE03" w:rsidR="00C656D9" w:rsidRDefault="00C656D9" w:rsidP="00F75BDA">
      <w:pPr>
        <w:pStyle w:val="11"/>
      </w:pPr>
      <w:bookmarkStart w:id="4" w:name="_Toc169978152"/>
      <w:r>
        <w:t>Движок</w:t>
      </w:r>
      <w:bookmarkEnd w:id="4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5" w:name="_Toc169978153" w:displacedByCustomXml="next"/>
    <w:sdt>
      <w:sdtPr>
        <w:id w:val="205758533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4"/>
        </w:rPr>
      </w:sdtEnd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5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CA6AFA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CCBC" w14:textId="77777777" w:rsidR="00DC6757" w:rsidRDefault="00DC6757" w:rsidP="00F27C11">
      <w:r>
        <w:separator/>
      </w:r>
    </w:p>
  </w:endnote>
  <w:endnote w:type="continuationSeparator" w:id="0">
    <w:p w14:paraId="6F953362" w14:textId="77777777" w:rsidR="00DC6757" w:rsidRDefault="00DC6757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1DCA" w14:textId="77777777" w:rsidR="00DC6757" w:rsidRDefault="00DC6757" w:rsidP="00F27C11">
      <w:r>
        <w:separator/>
      </w:r>
    </w:p>
  </w:footnote>
  <w:footnote w:type="continuationSeparator" w:id="0">
    <w:p w14:paraId="603C7A29" w14:textId="77777777" w:rsidR="00DC6757" w:rsidRDefault="00DC6757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>- 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</w:t>
      </w:r>
      <w:r>
        <w:t>—</w:t>
      </w:r>
      <w:r>
        <w:t xml:space="preserve">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8347527">
    <w:abstractNumId w:val="2"/>
  </w:num>
  <w:num w:numId="2" w16cid:durableId="1457218764">
    <w:abstractNumId w:val="1"/>
  </w:num>
  <w:num w:numId="3" w16cid:durableId="206779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106CA"/>
    <w:rsid w:val="00071AC5"/>
    <w:rsid w:val="0009043A"/>
    <w:rsid w:val="000B5F47"/>
    <w:rsid w:val="000F5748"/>
    <w:rsid w:val="00192738"/>
    <w:rsid w:val="001A00A3"/>
    <w:rsid w:val="00234B7D"/>
    <w:rsid w:val="002E720F"/>
    <w:rsid w:val="003D68B7"/>
    <w:rsid w:val="00493548"/>
    <w:rsid w:val="00543A21"/>
    <w:rsid w:val="00601752"/>
    <w:rsid w:val="00620A46"/>
    <w:rsid w:val="00685B1D"/>
    <w:rsid w:val="006C7AF9"/>
    <w:rsid w:val="007130DE"/>
    <w:rsid w:val="00730537"/>
    <w:rsid w:val="00756ADF"/>
    <w:rsid w:val="00763944"/>
    <w:rsid w:val="0079470C"/>
    <w:rsid w:val="00814392"/>
    <w:rsid w:val="008A1BF6"/>
    <w:rsid w:val="008B336C"/>
    <w:rsid w:val="008F67C4"/>
    <w:rsid w:val="009028E1"/>
    <w:rsid w:val="00A1380C"/>
    <w:rsid w:val="00A61AAC"/>
    <w:rsid w:val="00A65307"/>
    <w:rsid w:val="00AF57BE"/>
    <w:rsid w:val="00B225E8"/>
    <w:rsid w:val="00B36900"/>
    <w:rsid w:val="00B5057B"/>
    <w:rsid w:val="00B81D7E"/>
    <w:rsid w:val="00C35189"/>
    <w:rsid w:val="00C35AF1"/>
    <w:rsid w:val="00C656D9"/>
    <w:rsid w:val="00CA0B49"/>
    <w:rsid w:val="00CA6AFA"/>
    <w:rsid w:val="00D550D9"/>
    <w:rsid w:val="00DC6757"/>
    <w:rsid w:val="00ED367B"/>
    <w:rsid w:val="00ED5898"/>
    <w:rsid w:val="00EF3EC8"/>
    <w:rsid w:val="00F10B0D"/>
    <w:rsid w:val="00F21B02"/>
    <w:rsid w:val="00F27C11"/>
    <w:rsid w:val="00F623C9"/>
    <w:rsid w:val="00F75BDA"/>
    <w:rsid w:val="00F84C49"/>
    <w:rsid w:val="00F97822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8A1BF6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16</cp:revision>
  <dcterms:created xsi:type="dcterms:W3CDTF">2024-06-16T16:20:00Z</dcterms:created>
  <dcterms:modified xsi:type="dcterms:W3CDTF">2024-06-23T19:25:00Z</dcterms:modified>
</cp:coreProperties>
</file>