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color w:val="0B2545"/>
          <w:sz w:val="44"/>
        </w:rPr>
        <w:t>Vladan Simic - Test Task 2 API Automation</w:t>
      </w:r>
    </w:p>
    <w:p>
      <w:pPr>
        <w:spacing w:before="0" w:after="280" w:line="264" w:lineRule="auto"/>
      </w:pPr>
      <w:r>
        <w:rPr>
          <w:rFonts w:ascii="Calibri" w:hAnsi="Calibri"/>
          <w:b w:val="0"/>
          <w:color w:val="5C6874"/>
          <w:sz w:val="26"/>
        </w:rPr>
        <w:t>Media Buyers API Contract | PHP + Codeception solution</w:t>
      </w:r>
    </w:p>
    <w:tbl>
      <w:tblPr>
        <w:tblStyle w:val="TableGrid"/>
        <w:tblW w:type="auto" w:w="0"/>
        <w:tblLayout w:type="fixed"/>
        <w:tblLook w:firstColumn="1" w:firstRow="1" w:lastColumn="0" w:lastRow="0" w:noHBand="0" w:noVBand="1" w:val="04A0"/>
        <w:tblInd w:w="120" w:type="dxa"/>
      </w:tblPr>
      <w:tblGrid>
        <w:gridCol w:w="4680"/>
        <w:gridCol w:w="4680"/>
      </w:tblGrid>
      <w:tr>
        <w:tc>
          <w:tcPr>
            <w:tcW w:type="dxa" w:w="2448"/>
            <w:vAlign w:val="center"/>
            <w:tcMar>
              <w:top w:w="80" w:type="dxa"/>
              <w:start w:w="120" w:type="dxa"/>
              <w:bottom w:w="80" w:type="dxa"/>
              <w:end w:w="120" w:type="dxa"/>
            </w:tcMar>
            <w:shd w:fill="F2F4F7"/>
          </w:tcPr>
          <w:p>
            <w:pPr>
              <w:spacing w:before="0" w:after="40"/>
            </w:pPr>
            <w:r>
              <w:rPr>
                <w:rFonts w:ascii="Calibri" w:hAnsi="Calibri"/>
                <w:b/>
                <w:color w:val="0B2545"/>
                <w:sz w:val="19"/>
              </w:rPr>
              <w:t>Field</w:t>
            </w:r>
          </w:p>
        </w:tc>
        <w:tc>
          <w:tcPr>
            <w:tcW w:type="dxa" w:w="6623"/>
            <w:vAlign w:val="center"/>
            <w:tcMar>
              <w:top w:w="80" w:type="dxa"/>
              <w:start w:w="120" w:type="dxa"/>
              <w:bottom w:w="80" w:type="dxa"/>
              <w:end w:w="120" w:type="dxa"/>
            </w:tcMar>
            <w:shd w:fill="F2F4F7"/>
          </w:tcPr>
          <w:p>
            <w:pPr>
              <w:spacing w:before="0" w:after="40"/>
            </w:pPr>
            <w:r>
              <w:rPr>
                <w:rFonts w:ascii="Calibri" w:hAnsi="Calibri"/>
                <w:b/>
                <w:color w:val="0B2545"/>
                <w:sz w:val="19"/>
              </w:rPr>
              <w:t>Value</w:t>
            </w:r>
          </w:p>
        </w:tc>
      </w:tr>
      <w:tr>
        <w:tc>
          <w:tcPr>
            <w:tcW w:type="dxa" w:w="2448"/>
            <w:vAlign w:val="center"/>
            <w:tcMar>
              <w:top w:w="80" w:type="dxa"/>
              <w:start w:w="120" w:type="dxa"/>
              <w:bottom w:w="80" w:type="dxa"/>
              <w:end w:w="120" w:type="dxa"/>
            </w:tcMar>
          </w:tcPr>
          <w:p>
            <w:pPr>
              <w:spacing w:before="0" w:after="40"/>
            </w:pPr>
            <w:r>
              <w:rPr>
                <w:rFonts w:ascii="Calibri" w:hAnsi="Calibri"/>
                <w:b w:val="0"/>
                <w:sz w:val="19"/>
              </w:rPr>
              <w:t>Document purpose</w:t>
            </w:r>
          </w:p>
        </w:tc>
        <w:tc>
          <w:tcPr>
            <w:tcW w:type="dxa" w:w="6623"/>
            <w:vAlign w:val="center"/>
            <w:tcMar>
              <w:top w:w="80" w:type="dxa"/>
              <w:start w:w="120" w:type="dxa"/>
              <w:bottom w:w="80" w:type="dxa"/>
              <w:end w:w="120" w:type="dxa"/>
            </w:tcMar>
          </w:tcPr>
          <w:p>
            <w:pPr>
              <w:spacing w:before="0" w:after="40"/>
            </w:pPr>
            <w:r>
              <w:rPr>
                <w:rFonts w:ascii="Calibri" w:hAnsi="Calibri"/>
                <w:b w:val="0"/>
                <w:sz w:val="19"/>
              </w:rPr>
              <w:t>Written evaluation and delivery summary for the API automation assignment</w:t>
            </w:r>
          </w:p>
        </w:tc>
      </w:tr>
      <w:tr>
        <w:tc>
          <w:tcPr>
            <w:tcW w:type="dxa" w:w="2448"/>
            <w:vAlign w:val="center"/>
            <w:tcMar>
              <w:top w:w="80" w:type="dxa"/>
              <w:start w:w="120" w:type="dxa"/>
              <w:bottom w:w="80" w:type="dxa"/>
              <w:end w:w="120" w:type="dxa"/>
            </w:tcMar>
          </w:tcPr>
          <w:p>
            <w:pPr>
              <w:spacing w:before="0" w:after="40"/>
            </w:pPr>
            <w:r>
              <w:rPr>
                <w:rFonts w:ascii="Calibri" w:hAnsi="Calibri"/>
                <w:b w:val="0"/>
                <w:sz w:val="19"/>
              </w:rPr>
              <w:t>API resource</w:t>
            </w:r>
          </w:p>
        </w:tc>
        <w:tc>
          <w:tcPr>
            <w:tcW w:type="dxa" w:w="6623"/>
            <w:vAlign w:val="center"/>
            <w:tcMar>
              <w:top w:w="80" w:type="dxa"/>
              <w:start w:w="120" w:type="dxa"/>
              <w:bottom w:w="80" w:type="dxa"/>
              <w:end w:w="120" w:type="dxa"/>
            </w:tcMar>
          </w:tcPr>
          <w:p>
            <w:pPr>
              <w:spacing w:before="0" w:after="40"/>
            </w:pPr>
            <w:r>
              <w:rPr>
                <w:rFonts w:ascii="Calibri" w:hAnsi="Calibri"/>
                <w:b w:val="0"/>
                <w:sz w:val="19"/>
              </w:rPr>
              <w:t>Media Buyers</w:t>
            </w:r>
          </w:p>
        </w:tc>
      </w:tr>
      <w:tr>
        <w:tc>
          <w:tcPr>
            <w:tcW w:type="dxa" w:w="2448"/>
            <w:vAlign w:val="center"/>
            <w:tcMar>
              <w:top w:w="80" w:type="dxa"/>
              <w:start w:w="120" w:type="dxa"/>
              <w:bottom w:w="80" w:type="dxa"/>
              <w:end w:w="120" w:type="dxa"/>
            </w:tcMar>
          </w:tcPr>
          <w:p>
            <w:pPr>
              <w:spacing w:before="0" w:after="40"/>
            </w:pPr>
            <w:r>
              <w:rPr>
                <w:rFonts w:ascii="Calibri" w:hAnsi="Calibri"/>
                <w:b w:val="0"/>
                <w:sz w:val="19"/>
              </w:rPr>
              <w:t>Contract base URL</w:t>
            </w:r>
          </w:p>
        </w:tc>
        <w:tc>
          <w:tcPr>
            <w:tcW w:type="dxa" w:w="6623"/>
            <w:vAlign w:val="center"/>
            <w:tcMar>
              <w:top w:w="80" w:type="dxa"/>
              <w:start w:w="120" w:type="dxa"/>
              <w:bottom w:w="80" w:type="dxa"/>
              <w:end w:w="120" w:type="dxa"/>
            </w:tcMar>
          </w:tcPr>
          <w:p>
            <w:pPr>
              <w:spacing w:before="0" w:after="40"/>
            </w:pPr>
            <w:r>
              <w:rPr>
                <w:rFonts w:ascii="Calibri" w:hAnsi="Calibri"/>
                <w:b w:val="0"/>
                <w:sz w:val="19"/>
              </w:rPr>
              <w:t>{{BASE_URL}}/api</w:t>
            </w:r>
          </w:p>
        </w:tc>
      </w:tr>
      <w:tr>
        <w:tc>
          <w:tcPr>
            <w:tcW w:type="dxa" w:w="2448"/>
            <w:vAlign w:val="center"/>
            <w:tcMar>
              <w:top w:w="80" w:type="dxa"/>
              <w:start w:w="120" w:type="dxa"/>
              <w:bottom w:w="80" w:type="dxa"/>
              <w:end w:w="120" w:type="dxa"/>
            </w:tcMar>
          </w:tcPr>
          <w:p>
            <w:pPr>
              <w:spacing w:before="0" w:after="40"/>
            </w:pPr>
            <w:r>
              <w:rPr>
                <w:rFonts w:ascii="Calibri" w:hAnsi="Calibri"/>
                <w:b w:val="0"/>
                <w:sz w:val="19"/>
              </w:rPr>
              <w:t>Automation stack</w:t>
            </w:r>
          </w:p>
        </w:tc>
        <w:tc>
          <w:tcPr>
            <w:tcW w:type="dxa" w:w="6623"/>
            <w:vAlign w:val="center"/>
            <w:tcMar>
              <w:top w:w="80" w:type="dxa"/>
              <w:start w:w="120" w:type="dxa"/>
              <w:bottom w:w="80" w:type="dxa"/>
              <w:end w:w="120" w:type="dxa"/>
            </w:tcMar>
          </w:tcPr>
          <w:p>
            <w:pPr>
              <w:spacing w:before="0" w:after="40"/>
            </w:pPr>
            <w:r>
              <w:rPr>
                <w:rFonts w:ascii="Calibri" w:hAnsi="Calibri"/>
                <w:b w:val="0"/>
                <w:sz w:val="19"/>
              </w:rPr>
              <w:t>PHP 8.2+, Codeception 5, REST, PhpBrowser, Asserts, JSON Schema validator</w:t>
            </w:r>
          </w:p>
        </w:tc>
      </w:tr>
      <w:tr>
        <w:tc>
          <w:tcPr>
            <w:tcW w:type="dxa" w:w="2448"/>
            <w:vAlign w:val="center"/>
            <w:tcMar>
              <w:top w:w="80" w:type="dxa"/>
              <w:start w:w="120" w:type="dxa"/>
              <w:bottom w:w="80" w:type="dxa"/>
              <w:end w:w="120" w:type="dxa"/>
            </w:tcMar>
          </w:tcPr>
          <w:p>
            <w:pPr>
              <w:spacing w:before="0" w:after="40"/>
            </w:pPr>
            <w:r>
              <w:rPr>
                <w:rFonts w:ascii="Calibri" w:hAnsi="Calibri"/>
                <w:b w:val="0"/>
                <w:sz w:val="19"/>
              </w:rPr>
              <w:t>Date</w:t>
            </w:r>
          </w:p>
        </w:tc>
        <w:tc>
          <w:tcPr>
            <w:tcW w:type="dxa" w:w="6623"/>
            <w:vAlign w:val="center"/>
            <w:tcMar>
              <w:top w:w="80" w:type="dxa"/>
              <w:start w:w="120" w:type="dxa"/>
              <w:bottom w:w="80" w:type="dxa"/>
              <w:end w:w="120" w:type="dxa"/>
            </w:tcMar>
          </w:tcPr>
          <w:p>
            <w:pPr>
              <w:spacing w:before="0" w:after="40"/>
            </w:pPr>
            <w:r>
              <w:rPr>
                <w:rFonts w:ascii="Calibri" w:hAnsi="Calibri"/>
                <w:b w:val="0"/>
                <w:sz w:val="19"/>
              </w:rPr>
              <w:t>June 12, 2026</w:t>
            </w:r>
          </w:p>
        </w:tc>
      </w:tr>
      <w:tr>
        <w:tc>
          <w:tcPr>
            <w:tcW w:type="dxa" w:w="2448"/>
            <w:vAlign w:val="center"/>
            <w:tcMar>
              <w:top w:w="80" w:type="dxa"/>
              <w:start w:w="120" w:type="dxa"/>
              <w:bottom w:w="80" w:type="dxa"/>
              <w:end w:w="120" w:type="dxa"/>
            </w:tcMar>
          </w:tcPr>
          <w:p>
            <w:pPr>
              <w:spacing w:before="0" w:after="40"/>
            </w:pPr>
            <w:r>
              <w:rPr>
                <w:rFonts w:ascii="Calibri" w:hAnsi="Calibri"/>
                <w:b w:val="0"/>
                <w:sz w:val="19"/>
              </w:rPr>
              <w:t>Status</w:t>
            </w:r>
          </w:p>
        </w:tc>
        <w:tc>
          <w:tcPr>
            <w:tcW w:type="dxa" w:w="6623"/>
            <w:vAlign w:val="center"/>
            <w:tcMar>
              <w:top w:w="80" w:type="dxa"/>
              <w:start w:w="120" w:type="dxa"/>
              <w:bottom w:w="80" w:type="dxa"/>
              <w:end w:w="120" w:type="dxa"/>
            </w:tcMar>
          </w:tcPr>
          <w:p>
            <w:pPr>
              <w:spacing w:before="0" w:after="40"/>
            </w:pPr>
            <w:r>
              <w:rPr>
                <w:rFonts w:ascii="Calibri" w:hAnsi="Calibri"/>
                <w:b w:val="0"/>
                <w:sz w:val="19"/>
              </w:rPr>
              <w:t>GitHub-ready solution package prepared</w:t>
            </w:r>
          </w:p>
        </w:tc>
      </w:tr>
    </w:tbl>
    <w:p>
      <w:pPr>
        <w:keepNext/>
        <w:spacing w:before="320" w:after="160"/>
      </w:pPr>
      <w:r>
        <w:rPr>
          <w:rFonts w:ascii="Calibri" w:hAnsi="Calibri"/>
          <w:b/>
          <w:color w:val="2E74B5"/>
          <w:sz w:val="32"/>
        </w:rPr>
        <w:t>Executive Summary</w:t>
      </w:r>
    </w:p>
    <w:p>
      <w:pPr>
        <w:spacing w:before="0" w:after="120" w:line="264" w:lineRule="auto"/>
      </w:pPr>
      <w:r>
        <w:rPr>
          <w:rFonts w:ascii="Calibri" w:hAnsi="Calibri"/>
          <w:b w:val="0"/>
          <w:sz w:val="22"/>
        </w:rPr>
        <w:t>The solution treats the PDF contract as the source of truth and implements a GitHub-ready PHP/Codeception API test framework. Because the assignment explicitly says that no live API exists, the suite is designed around clean test code, reusable abstractions, environment-based configuration, JSON Schema validation, and CI readiness rather than local execution against a real service.</w:t>
      </w:r>
    </w:p>
    <w:tbl>
      <w:tblPr>
        <w:tblStyle w:val="TableGrid"/>
        <w:tblW w:type="auto" w:w="0"/>
        <w:tblLayout w:type="fixed"/>
        <w:tblLook w:firstColumn="1" w:firstRow="1" w:lastColumn="0" w:lastRow="0" w:noHBand="0" w:noVBand="1" w:val="04A0"/>
        <w:tblInd w:w="120" w:type="dxa"/>
      </w:tblPr>
      <w:tblGrid>
        <w:gridCol w:w="9360"/>
      </w:tblGrid>
      <w:tr>
        <w:tc>
          <w:tcPr>
            <w:tcW w:type="dxa" w:w="9072"/>
            <w:shd w:fill="F4F6F9"/>
            <w:tcMar>
              <w:top w:w="80" w:type="dxa"/>
              <w:start w:w="120" w:type="dxa"/>
              <w:bottom w:w="80" w:type="dxa"/>
              <w:end w:w="120" w:type="dxa"/>
            </w:tcMar>
            <w:vAlign w:val="center"/>
          </w:tcPr>
          <w:p>
            <w:pPr>
              <w:spacing w:after="40" w:before="0"/>
            </w:pPr>
            <w:r>
              <w:rPr>
                <w:rFonts w:ascii="Calibri" w:hAnsi="Calibri"/>
                <w:b/>
                <w:color w:val="0B2545"/>
                <w:sz w:val="19"/>
              </w:rPr>
              <w:t>Delivery snapshot</w:t>
            </w:r>
          </w:p>
          <w:p>
            <w:pPr>
              <w:spacing w:after="40" w:before="0"/>
            </w:pPr>
            <w:r>
              <w:rPr>
                <w:rFonts w:ascii="Calibri" w:hAnsi="Calibri"/>
                <w:b/>
                <w:color w:val="0B2545"/>
                <w:sz w:val="19"/>
              </w:rPr>
              <w:t>The project includes 12 Cest test methods and parameterized examples that cover 17 contract scenarios across GET and POST, including positive flows, field validation, schema validation, duplicate mbId behavior, and the empty-list acceptance criterion.</w:t>
            </w:r>
          </w:p>
        </w:tc>
      </w:tr>
    </w:tbl>
    <w:p>
      <w:pPr>
        <w:keepNext/>
        <w:spacing w:before="320" w:after="160"/>
      </w:pPr>
      <w:r>
        <w:rPr>
          <w:rFonts w:ascii="Calibri" w:hAnsi="Calibri"/>
          <w:b/>
          <w:color w:val="2E74B5"/>
          <w:sz w:val="32"/>
        </w:rPr>
        <w:t>Repository Deliverables</w:t>
      </w:r>
    </w:p>
    <w:tbl>
      <w:tblPr>
        <w:tblStyle w:val="TableGrid"/>
        <w:tblW w:type="auto" w:w="0"/>
        <w:tblLayout w:type="fixed"/>
        <w:tblLook w:firstColumn="1" w:firstRow="1" w:lastColumn="0" w:lastRow="0" w:noHBand="0" w:noVBand="1" w:val="04A0"/>
        <w:tblInd w:w="120" w:type="dxa"/>
      </w:tblPr>
      <w:tblGrid>
        <w:gridCol w:w="3120"/>
        <w:gridCol w:w="3120"/>
        <w:gridCol w:w="3120"/>
      </w:tblGrid>
      <w:tr>
        <w:tc>
          <w:tcPr>
            <w:tcW w:type="dxa" w:w="1512"/>
            <w:vAlign w:val="center"/>
            <w:tcMar>
              <w:top w:w="80" w:type="dxa"/>
              <w:start w:w="120" w:type="dxa"/>
              <w:bottom w:w="80" w:type="dxa"/>
              <w:end w:w="120" w:type="dxa"/>
            </w:tcMar>
            <w:shd w:fill="F2F4F7"/>
          </w:tcPr>
          <w:p>
            <w:pPr>
              <w:spacing w:before="0" w:after="40"/>
            </w:pPr>
            <w:r>
              <w:rPr>
                <w:rFonts w:ascii="Calibri" w:hAnsi="Calibri"/>
                <w:b/>
                <w:color w:val="0B2545"/>
                <w:sz w:val="19"/>
              </w:rPr>
              <w:t>Area</w:t>
            </w:r>
          </w:p>
        </w:tc>
        <w:tc>
          <w:tcPr>
            <w:tcW w:type="dxa" w:w="3096"/>
            <w:vAlign w:val="center"/>
            <w:tcMar>
              <w:top w:w="80" w:type="dxa"/>
              <w:start w:w="120" w:type="dxa"/>
              <w:bottom w:w="80" w:type="dxa"/>
              <w:end w:w="120" w:type="dxa"/>
            </w:tcMar>
            <w:shd w:fill="F2F4F7"/>
          </w:tcPr>
          <w:p>
            <w:pPr>
              <w:spacing w:before="0" w:after="40"/>
            </w:pPr>
            <w:r>
              <w:rPr>
                <w:rFonts w:ascii="Calibri" w:hAnsi="Calibri"/>
                <w:b/>
                <w:color w:val="0B2545"/>
                <w:sz w:val="19"/>
              </w:rPr>
              <w:t>Delivered item</w:t>
            </w:r>
          </w:p>
        </w:tc>
        <w:tc>
          <w:tcPr>
            <w:tcW w:type="dxa" w:w="4464"/>
            <w:vAlign w:val="center"/>
            <w:tcMar>
              <w:top w:w="80" w:type="dxa"/>
              <w:start w:w="120" w:type="dxa"/>
              <w:bottom w:w="80" w:type="dxa"/>
              <w:end w:w="120" w:type="dxa"/>
            </w:tcMar>
            <w:shd w:fill="F2F4F7"/>
          </w:tcPr>
          <w:p>
            <w:pPr>
              <w:spacing w:before="0" w:after="40"/>
            </w:pPr>
            <w:r>
              <w:rPr>
                <w:rFonts w:ascii="Calibri" w:hAnsi="Calibri"/>
                <w:b/>
                <w:color w:val="0B2545"/>
                <w:sz w:val="19"/>
              </w:rPr>
              <w:t>Why it matters</w:t>
            </w:r>
          </w:p>
        </w:tc>
      </w:tr>
      <w:tr>
        <w:tc>
          <w:tcPr>
            <w:tcW w:type="dxa" w:w="1512"/>
            <w:vAlign w:val="center"/>
            <w:tcMar>
              <w:top w:w="80" w:type="dxa"/>
              <w:start w:w="120" w:type="dxa"/>
              <w:bottom w:w="80" w:type="dxa"/>
              <w:end w:w="120" w:type="dxa"/>
            </w:tcMar>
          </w:tcPr>
          <w:p>
            <w:pPr>
              <w:spacing w:before="0" w:after="40"/>
            </w:pPr>
            <w:r>
              <w:rPr>
                <w:rFonts w:ascii="Calibri" w:hAnsi="Calibri"/>
                <w:b w:val="0"/>
                <w:sz w:val="19"/>
              </w:rPr>
              <w:t>Test code</w:t>
            </w:r>
          </w:p>
        </w:tc>
        <w:tc>
          <w:tcPr>
            <w:tcW w:type="dxa" w:w="3096"/>
            <w:vAlign w:val="center"/>
            <w:tcMar>
              <w:top w:w="80" w:type="dxa"/>
              <w:start w:w="120" w:type="dxa"/>
              <w:bottom w:w="80" w:type="dxa"/>
              <w:end w:w="120" w:type="dxa"/>
            </w:tcMar>
          </w:tcPr>
          <w:p>
            <w:pPr>
              <w:spacing w:before="0" w:after="40"/>
            </w:pPr>
            <w:r>
              <w:rPr>
                <w:rFonts w:ascii="Calibri" w:hAnsi="Calibri"/>
                <w:b w:val="0"/>
                <w:sz w:val="19"/>
              </w:rPr>
              <w:t>tests/api/MediaBuyerCest.php</w:t>
            </w:r>
          </w:p>
        </w:tc>
        <w:tc>
          <w:tcPr>
            <w:tcW w:type="dxa" w:w="4464"/>
            <w:vAlign w:val="center"/>
            <w:tcMar>
              <w:top w:w="80" w:type="dxa"/>
              <w:start w:w="120" w:type="dxa"/>
              <w:bottom w:w="80" w:type="dxa"/>
              <w:end w:w="120" w:type="dxa"/>
            </w:tcMar>
          </w:tcPr>
          <w:p>
            <w:pPr>
              <w:spacing w:before="0" w:after="40"/>
            </w:pPr>
            <w:r>
              <w:rPr>
                <w:rFonts w:ascii="Calibri" w:hAnsi="Calibri"/>
                <w:b w:val="0"/>
                <w:sz w:val="19"/>
              </w:rPr>
              <w:t>Maps each important acceptance criterion to readable Codeception tests.</w:t>
            </w:r>
          </w:p>
        </w:tc>
      </w:tr>
      <w:tr>
        <w:tc>
          <w:tcPr>
            <w:tcW w:type="dxa" w:w="1512"/>
            <w:vAlign w:val="center"/>
            <w:tcMar>
              <w:top w:w="80" w:type="dxa"/>
              <w:start w:w="120" w:type="dxa"/>
              <w:bottom w:w="80" w:type="dxa"/>
              <w:end w:w="120" w:type="dxa"/>
            </w:tcMar>
          </w:tcPr>
          <w:p>
            <w:pPr>
              <w:spacing w:before="0" w:after="40"/>
            </w:pPr>
            <w:r>
              <w:rPr>
                <w:rFonts w:ascii="Calibri" w:hAnsi="Calibri"/>
                <w:b w:val="0"/>
                <w:sz w:val="19"/>
              </w:rPr>
              <w:t>HTTP boundary</w:t>
            </w:r>
          </w:p>
        </w:tc>
        <w:tc>
          <w:tcPr>
            <w:tcW w:type="dxa" w:w="3096"/>
            <w:vAlign w:val="center"/>
            <w:tcMar>
              <w:top w:w="80" w:type="dxa"/>
              <w:start w:w="120" w:type="dxa"/>
              <w:bottom w:w="80" w:type="dxa"/>
              <w:end w:w="120" w:type="dxa"/>
            </w:tcMar>
          </w:tcPr>
          <w:p>
            <w:pPr>
              <w:spacing w:before="0" w:after="40"/>
            </w:pPr>
            <w:r>
              <w:rPr>
                <w:rFonts w:ascii="Calibri" w:hAnsi="Calibri"/>
                <w:b w:val="0"/>
                <w:sz w:val="19"/>
              </w:rPr>
              <w:t>MediaBuyerApi client wrapper</w:t>
            </w:r>
          </w:p>
        </w:tc>
        <w:tc>
          <w:tcPr>
            <w:tcW w:type="dxa" w:w="4464"/>
            <w:vAlign w:val="center"/>
            <w:tcMar>
              <w:top w:w="80" w:type="dxa"/>
              <w:start w:w="120" w:type="dxa"/>
              <w:bottom w:w="80" w:type="dxa"/>
              <w:end w:w="120" w:type="dxa"/>
            </w:tcMar>
          </w:tcPr>
          <w:p>
            <w:pPr>
              <w:spacing w:before="0" w:after="40"/>
            </w:pPr>
            <w:r>
              <w:rPr>
                <w:rFonts w:ascii="Calibri" w:hAnsi="Calibri"/>
                <w:b w:val="0"/>
                <w:sz w:val="19"/>
              </w:rPr>
              <w:t>Keeps endpoint paths and required headers outside test bodies.</w:t>
            </w:r>
          </w:p>
        </w:tc>
      </w:tr>
      <w:tr>
        <w:tc>
          <w:tcPr>
            <w:tcW w:type="dxa" w:w="1512"/>
            <w:vAlign w:val="center"/>
            <w:tcMar>
              <w:top w:w="80" w:type="dxa"/>
              <w:start w:w="120" w:type="dxa"/>
              <w:bottom w:w="80" w:type="dxa"/>
              <w:end w:w="120" w:type="dxa"/>
            </w:tcMar>
          </w:tcPr>
          <w:p>
            <w:pPr>
              <w:spacing w:before="0" w:after="40"/>
            </w:pPr>
            <w:r>
              <w:rPr>
                <w:rFonts w:ascii="Calibri" w:hAnsi="Calibri"/>
                <w:b w:val="0"/>
                <w:sz w:val="19"/>
              </w:rPr>
              <w:t>Payloads</w:t>
            </w:r>
          </w:p>
        </w:tc>
        <w:tc>
          <w:tcPr>
            <w:tcW w:type="dxa" w:w="3096"/>
            <w:vAlign w:val="center"/>
            <w:tcMar>
              <w:top w:w="80" w:type="dxa"/>
              <w:start w:w="120" w:type="dxa"/>
              <w:bottom w:w="80" w:type="dxa"/>
              <w:end w:w="120" w:type="dxa"/>
            </w:tcMar>
          </w:tcPr>
          <w:p>
            <w:pPr>
              <w:spacing w:before="0" w:after="40"/>
            </w:pPr>
            <w:r>
              <w:rPr>
                <w:rFonts w:ascii="Calibri" w:hAnsi="Calibri"/>
                <w:b w:val="0"/>
                <w:sz w:val="19"/>
              </w:rPr>
              <w:t>MediaBuyerPayloadFactory</w:t>
            </w:r>
          </w:p>
        </w:tc>
        <w:tc>
          <w:tcPr>
            <w:tcW w:type="dxa" w:w="4464"/>
            <w:vAlign w:val="center"/>
            <w:tcMar>
              <w:top w:w="80" w:type="dxa"/>
              <w:start w:w="120" w:type="dxa"/>
              <w:bottom w:w="80" w:type="dxa"/>
              <w:end w:w="120" w:type="dxa"/>
            </w:tcMar>
          </w:tcPr>
          <w:p>
            <w:pPr>
              <w:spacing w:before="0" w:after="40"/>
            </w:pPr>
            <w:r>
              <w:rPr>
                <w:rFonts w:ascii="Calibri" w:hAnsi="Calibri"/>
                <w:b w:val="0"/>
                <w:sz w:val="19"/>
              </w:rPr>
              <w:t>Builds valid requests and negative overrides without hard-coded JSON in tests.</w:t>
            </w:r>
          </w:p>
        </w:tc>
      </w:tr>
      <w:tr>
        <w:tc>
          <w:tcPr>
            <w:tcW w:type="dxa" w:w="1512"/>
            <w:vAlign w:val="center"/>
            <w:tcMar>
              <w:top w:w="80" w:type="dxa"/>
              <w:start w:w="120" w:type="dxa"/>
              <w:bottom w:w="80" w:type="dxa"/>
              <w:end w:w="120" w:type="dxa"/>
            </w:tcMar>
          </w:tcPr>
          <w:p>
            <w:pPr>
              <w:spacing w:before="0" w:after="40"/>
            </w:pPr>
            <w:r>
              <w:rPr>
                <w:rFonts w:ascii="Calibri" w:hAnsi="Calibri"/>
                <w:b w:val="0"/>
                <w:sz w:val="19"/>
              </w:rPr>
              <w:t>Schemas</w:t>
            </w:r>
          </w:p>
        </w:tc>
        <w:tc>
          <w:tcPr>
            <w:tcW w:type="dxa" w:w="3096"/>
            <w:vAlign w:val="center"/>
            <w:tcMar>
              <w:top w:w="80" w:type="dxa"/>
              <w:start w:w="120" w:type="dxa"/>
              <w:bottom w:w="80" w:type="dxa"/>
              <w:end w:w="120" w:type="dxa"/>
            </w:tcMar>
          </w:tcPr>
          <w:p>
            <w:pPr>
              <w:spacing w:before="0" w:after="40"/>
            </w:pPr>
            <w:r>
              <w:rPr>
                <w:rFonts w:ascii="Calibri" w:hAnsi="Calibri"/>
                <w:b w:val="0"/>
                <w:sz w:val="19"/>
              </w:rPr>
              <w:t>get-media-buyers-schema.json and post-media-buyer-schema.json</w:t>
            </w:r>
          </w:p>
        </w:tc>
        <w:tc>
          <w:tcPr>
            <w:tcW w:type="dxa" w:w="4464"/>
            <w:vAlign w:val="center"/>
            <w:tcMar>
              <w:top w:w="80" w:type="dxa"/>
              <w:start w:w="120" w:type="dxa"/>
              <w:bottom w:w="80" w:type="dxa"/>
              <w:end w:w="120" w:type="dxa"/>
            </w:tcMar>
          </w:tcPr>
          <w:p>
            <w:pPr>
              <w:spacing w:before="0" w:after="40"/>
            </w:pPr>
            <w:r>
              <w:rPr>
                <w:rFonts w:ascii="Calibri" w:hAnsi="Calibri"/>
                <w:b w:val="0"/>
                <w:sz w:val="19"/>
              </w:rPr>
              <w:t>Validates successful responses against the supplied contract.</w:t>
            </w:r>
          </w:p>
        </w:tc>
      </w:tr>
      <w:tr>
        <w:tc>
          <w:tcPr>
            <w:tcW w:type="dxa" w:w="1512"/>
            <w:vAlign w:val="center"/>
            <w:tcMar>
              <w:top w:w="80" w:type="dxa"/>
              <w:start w:w="120" w:type="dxa"/>
              <w:bottom w:w="80" w:type="dxa"/>
              <w:end w:w="120" w:type="dxa"/>
            </w:tcMar>
          </w:tcPr>
          <w:p>
            <w:pPr>
              <w:spacing w:before="0" w:after="40"/>
            </w:pPr>
            <w:r>
              <w:rPr>
                <w:rFonts w:ascii="Calibri" w:hAnsi="Calibri"/>
                <w:b w:val="0"/>
                <w:sz w:val="19"/>
              </w:rPr>
              <w:t>Assertions</w:t>
            </w:r>
          </w:p>
        </w:tc>
        <w:tc>
          <w:tcPr>
            <w:tcW w:type="dxa" w:w="3096"/>
            <w:vAlign w:val="center"/>
            <w:tcMar>
              <w:top w:w="80" w:type="dxa"/>
              <w:start w:w="120" w:type="dxa"/>
              <w:bottom w:w="80" w:type="dxa"/>
              <w:end w:w="120" w:type="dxa"/>
            </w:tcMar>
          </w:tcPr>
          <w:p>
            <w:pPr>
              <w:spacing w:before="0" w:after="40"/>
            </w:pPr>
            <w:r>
              <w:rPr>
                <w:rFonts w:ascii="Calibri" w:hAnsi="Calibri"/>
                <w:b w:val="0"/>
                <w:sz w:val="19"/>
              </w:rPr>
              <w:t>MediaBuyerAssertions</w:t>
            </w:r>
          </w:p>
        </w:tc>
        <w:tc>
          <w:tcPr>
            <w:tcW w:type="dxa" w:w="4464"/>
            <w:vAlign w:val="center"/>
            <w:tcMar>
              <w:top w:w="80" w:type="dxa"/>
              <w:start w:w="120" w:type="dxa"/>
              <w:bottom w:w="80" w:type="dxa"/>
              <w:end w:w="120" w:type="dxa"/>
            </w:tcMar>
          </w:tcPr>
          <w:p>
            <w:pPr>
              <w:spacing w:before="0" w:after="40"/>
            </w:pPr>
            <w:r>
              <w:rPr>
                <w:rFonts w:ascii="Calibri" w:hAnsi="Calibri"/>
                <w:b w:val="0"/>
                <w:sz w:val="19"/>
              </w:rPr>
              <w:t>Centralizes protocol, schema, response, and validation-error checks.</w:t>
            </w:r>
          </w:p>
        </w:tc>
      </w:tr>
      <w:tr>
        <w:tc>
          <w:tcPr>
            <w:tcW w:type="dxa" w:w="1512"/>
            <w:vAlign w:val="center"/>
            <w:tcMar>
              <w:top w:w="80" w:type="dxa"/>
              <w:start w:w="120" w:type="dxa"/>
              <w:bottom w:w="80" w:type="dxa"/>
              <w:end w:w="120" w:type="dxa"/>
            </w:tcMar>
          </w:tcPr>
          <w:p>
            <w:pPr>
              <w:spacing w:before="0" w:after="40"/>
            </w:pPr>
            <w:r>
              <w:rPr>
                <w:rFonts w:ascii="Calibri" w:hAnsi="Calibri"/>
                <w:b w:val="0"/>
                <w:sz w:val="19"/>
              </w:rPr>
              <w:t>CI</w:t>
            </w:r>
          </w:p>
        </w:tc>
        <w:tc>
          <w:tcPr>
            <w:tcW w:type="dxa" w:w="3096"/>
            <w:vAlign w:val="center"/>
            <w:tcMar>
              <w:top w:w="80" w:type="dxa"/>
              <w:start w:w="120" w:type="dxa"/>
              <w:bottom w:w="80" w:type="dxa"/>
              <w:end w:w="120" w:type="dxa"/>
            </w:tcMar>
          </w:tcPr>
          <w:p>
            <w:pPr>
              <w:spacing w:before="0" w:after="40"/>
            </w:pPr>
            <w:r>
              <w:rPr>
                <w:rFonts w:ascii="Calibri" w:hAnsi="Calibri"/>
                <w:b w:val="0"/>
                <w:sz w:val="19"/>
              </w:rPr>
              <w:t>.github/workflows/api-tests.yml</w:t>
            </w:r>
          </w:p>
        </w:tc>
        <w:tc>
          <w:tcPr>
            <w:tcW w:type="dxa" w:w="4464"/>
            <w:vAlign w:val="center"/>
            <w:tcMar>
              <w:top w:w="80" w:type="dxa"/>
              <w:start w:w="120" w:type="dxa"/>
              <w:bottom w:w="80" w:type="dxa"/>
              <w:end w:w="120" w:type="dxa"/>
            </w:tcMar>
          </w:tcPr>
          <w:p>
            <w:pPr>
              <w:spacing w:before="0" w:after="40"/>
            </w:pPr>
            <w:r>
              <w:rPr>
                <w:rFonts w:ascii="Calibri" w:hAnsi="Calibri"/>
                <w:b w:val="0"/>
                <w:sz w:val="19"/>
              </w:rPr>
              <w:t>Shows how the suite plugs into GitHub Actions once API_BASE_URL exists.</w:t>
            </w:r>
          </w:p>
        </w:tc>
      </w:tr>
    </w:tbl>
    <w:p>
      <w:pPr>
        <w:keepNext/>
        <w:spacing w:before="320" w:after="160"/>
      </w:pPr>
      <w:r>
        <w:rPr>
          <w:rFonts w:ascii="Calibri" w:hAnsi="Calibri"/>
          <w:b/>
          <w:color w:val="2E74B5"/>
          <w:sz w:val="32"/>
        </w:rPr>
        <w:t>Written Evaluation</w:t>
      </w:r>
    </w:p>
    <w:p>
      <w:pPr>
        <w:keepNext/>
        <w:spacing w:before="240" w:after="120"/>
      </w:pPr>
      <w:r>
        <w:rPr>
          <w:rFonts w:ascii="Calibri" w:hAnsi="Calibri"/>
          <w:b/>
          <w:color w:val="2E74B5"/>
          <w:sz w:val="26"/>
        </w:rPr>
        <w:t>1. Scenario selection</w:t>
      </w:r>
    </w:p>
    <w:p>
      <w:pPr>
        <w:spacing w:before="0" w:after="120" w:line="264" w:lineRule="auto"/>
      </w:pPr>
      <w:r>
        <w:rPr>
          <w:rFonts w:ascii="Calibri" w:hAnsi="Calibri"/>
          <w:b w:val="0"/>
          <w:sz w:val="22"/>
        </w:rPr>
        <w:t>I selected scenarios that protect the resource contract and the highest-risk integration behavior. For GET, that means status, JSON content type, schema shape, array semantics, required fields, email syntax, active flag typing, and ID uniqueness. For POST, that means valid creation, server-generated ID, request-to-response field mapping, boolean-to-integer active conversion, required-field errors, boundary validation, invalid types, and duplicate mbId handling.</w:t>
      </w:r>
    </w:p>
    <w:p>
      <w:pPr>
        <w:spacing w:before="0" w:after="120" w:line="264" w:lineRule="auto"/>
      </w:pPr>
      <w:r>
        <w:rPr>
          <w:rFonts w:ascii="Calibri" w:hAnsi="Calibri"/>
          <w:b w:val="0"/>
          <w:sz w:val="22"/>
        </w:rPr>
        <w:t>I intentionally left out authentication, authorization, filtering, pagination, rate limiting, and performance because the contract does not define them. Those would be added when the API contract expands rather than guessed in code.</w:t>
      </w:r>
    </w:p>
    <w:p>
      <w:pPr>
        <w:keepNext/>
        <w:spacing w:before="240" w:after="120"/>
      </w:pPr>
      <w:r>
        <w:rPr>
          <w:rFonts w:ascii="Calibri" w:hAnsi="Calibri"/>
          <w:b/>
          <w:color w:val="2E74B5"/>
          <w:sz w:val="26"/>
        </w:rPr>
        <w:t>2. Abstractions introduced</w:t>
      </w:r>
    </w:p>
    <w:p>
      <w:pPr>
        <w:spacing w:before="0" w:after="120" w:line="264" w:lineRule="auto"/>
      </w:pPr>
      <w:r>
        <w:rPr>
          <w:rFonts w:ascii="Calibri" w:hAnsi="Calibri"/>
          <w:b w:val="0"/>
          <w:sz w:val="22"/>
        </w:rPr>
        <w:t>The suite introduces a small HTTP client wrapper, payload factory, JSON Schema assertion helper, validation-error assertion helper, and fixture area. At 8 tests this keeps the code clean; at 80 tests it prevents duplication, keeps endpoint changes localized, and makes new boundary cases cheap to add. Schemas remain separate artifacts so they can later be generated or compared against OpenAPI.</w:t>
      </w:r>
    </w:p>
    <w:p>
      <w:pPr>
        <w:keepNext/>
        <w:spacing w:before="240" w:after="120"/>
      </w:pPr>
      <w:r>
        <w:rPr>
          <w:rFonts w:ascii="Calibri" w:hAnsi="Calibri"/>
          <w:b/>
          <w:color w:val="2E74B5"/>
          <w:sz w:val="26"/>
        </w:rPr>
        <w:t>3. Contract drift detection</w:t>
      </w:r>
    </w:p>
    <w:p>
      <w:pPr>
        <w:spacing w:before="0" w:after="120" w:line="264" w:lineRule="auto"/>
      </w:pPr>
      <w:r>
        <w:rPr>
          <w:rFonts w:ascii="Calibri" w:hAnsi="Calibri"/>
          <w:b w:val="0"/>
          <w:sz w:val="22"/>
        </w:rPr>
        <w:t>I would make the API contract versioned and canonical, ideally as OpenAPI plus generated JSON Schemas. CI should run an OpenAPI diff on every backend pull request, fail when response shapes or validation rules change without test updates, and require QA review on contract-changing PRs. Schema files in this repository should be regenerated or intentionally updated when the contract changes, creating a visible review point.</w:t>
      </w:r>
    </w:p>
    <w:p>
      <w:pPr>
        <w:keepNext/>
        <w:spacing w:before="240" w:after="120"/>
      </w:pPr>
      <w:r>
        <w:rPr>
          <w:rFonts w:ascii="Calibri" w:hAnsi="Calibri"/>
          <w:b/>
          <w:color w:val="2E74B5"/>
          <w:sz w:val="26"/>
        </w:rPr>
        <w:t>4. Tools, including AI</w:t>
      </w:r>
    </w:p>
    <w:p>
      <w:pPr>
        <w:spacing w:before="0" w:after="120" w:line="264" w:lineRule="auto"/>
      </w:pPr>
      <w:r>
        <w:rPr>
          <w:rFonts w:ascii="Calibri" w:hAnsi="Calibri"/>
          <w:b w:val="0"/>
          <w:sz w:val="22"/>
        </w:rPr>
        <w:t>For daily QA ownership I would use Codeception for PHP API tests, GitHub Actions for CI, Allure or Codeception HTML/XML reports for visibility, OpenAPI diff tooling for drift, Prism or WireMock for mock-contract environments, and Pact-style consumer contract tests if multiple services consume the API. AI tools are useful for drafting boundary matrices, generating first-pass test cases from an OpenAPI document, reviewing duplicated assertions, and summarizing flaky-test trends, but final scenario selection and risk decisions should remain human-owned.</w:t>
      </w:r>
    </w:p>
    <w:p>
      <w:pPr>
        <w:keepNext/>
        <w:spacing w:before="240" w:after="120"/>
      </w:pPr>
      <w:r>
        <w:rPr>
          <w:rFonts w:ascii="Calibri" w:hAnsi="Calibri"/>
          <w:b/>
          <w:color w:val="2E74B5"/>
          <w:sz w:val="26"/>
        </w:rPr>
        <w:t>5. Challenging automation situation</w:t>
      </w:r>
    </w:p>
    <w:p>
      <w:pPr>
        <w:spacing w:before="0" w:after="120" w:line="264" w:lineRule="auto"/>
      </w:pPr>
      <w:r>
        <w:rPr>
          <w:rFonts w:ascii="Calibri" w:hAnsi="Calibri"/>
          <w:b w:val="0"/>
          <w:sz w:val="22"/>
        </w:rPr>
        <w:t>A challenging API automation situation I would highlight is test instability caused by shared state and asynchronous backend processing. The fix is to isolate data with unique builders, make setup and teardown explicit, replace fixed sleeps with polling helpers and clear timeouts, separate contract tests from longer end-to-end workflows, and improve failure diagnostics by logging request IDs, payloads, response bodies, and environment metadata. That approach turns flaky tests into actionable feedback instead of noise.</w:t>
      </w:r>
    </w:p>
    <w:p>
      <w:r>
        <w:br w:type="page"/>
      </w:r>
    </w:p>
    <w:p>
      <w:pPr>
        <w:keepNext/>
        <w:spacing w:before="320" w:after="160"/>
      </w:pPr>
      <w:r>
        <w:rPr>
          <w:rFonts w:ascii="Calibri" w:hAnsi="Calibri"/>
          <w:b/>
          <w:color w:val="2E74B5"/>
          <w:sz w:val="32"/>
        </w:rPr>
        <w:t>Acceptance Criteria Traceability</w:t>
      </w:r>
    </w:p>
    <w:p>
      <w:pPr>
        <w:keepNext/>
        <w:spacing w:before="240" w:after="120"/>
      </w:pPr>
      <w:r>
        <w:rPr>
          <w:rFonts w:ascii="Calibri" w:hAnsi="Calibri"/>
          <w:b/>
          <w:color w:val="2E74B5"/>
          <w:sz w:val="26"/>
        </w:rPr>
        <w:t>GET /api/mediabuyers</w:t>
      </w:r>
    </w:p>
    <w:tbl>
      <w:tblPr>
        <w:tblStyle w:val="TableGrid"/>
        <w:tblW w:type="auto" w:w="0"/>
        <w:tblLayout w:type="fixed"/>
        <w:tblLook w:firstColumn="1" w:firstRow="1" w:lastColumn="0" w:lastRow="0" w:noHBand="0" w:noVBand="1" w:val="04A0"/>
        <w:tblInd w:w="120" w:type="dxa"/>
      </w:tblPr>
      <w:tblGrid>
        <w:gridCol w:w="3120"/>
        <w:gridCol w:w="3120"/>
        <w:gridCol w:w="3120"/>
      </w:tblGrid>
      <w:tr>
        <w:tc>
          <w:tcPr>
            <w:tcW w:type="dxa" w:w="792"/>
            <w:vAlign w:val="center"/>
            <w:tcMar>
              <w:top w:w="80" w:type="dxa"/>
              <w:start w:w="120" w:type="dxa"/>
              <w:bottom w:w="80" w:type="dxa"/>
              <w:end w:w="120" w:type="dxa"/>
            </w:tcMar>
            <w:shd w:fill="F2F4F7"/>
          </w:tcPr>
          <w:p>
            <w:pPr>
              <w:spacing w:before="0" w:after="40"/>
            </w:pPr>
            <w:r>
              <w:rPr>
                <w:rFonts w:ascii="Calibri" w:hAnsi="Calibri"/>
                <w:b/>
                <w:color w:val="0B2545"/>
                <w:sz w:val="19"/>
              </w:rPr>
              <w:t>ID</w:t>
            </w:r>
          </w:p>
        </w:tc>
        <w:tc>
          <w:tcPr>
            <w:tcW w:type="dxa" w:w="4464"/>
            <w:vAlign w:val="center"/>
            <w:tcMar>
              <w:top w:w="80" w:type="dxa"/>
              <w:start w:w="120" w:type="dxa"/>
              <w:bottom w:w="80" w:type="dxa"/>
              <w:end w:w="120" w:type="dxa"/>
            </w:tcMar>
            <w:shd w:fill="F2F4F7"/>
          </w:tcPr>
          <w:p>
            <w:pPr>
              <w:spacing w:before="0" w:after="40"/>
            </w:pPr>
            <w:r>
              <w:rPr>
                <w:rFonts w:ascii="Calibri" w:hAnsi="Calibri"/>
                <w:b/>
                <w:color w:val="0B2545"/>
                <w:sz w:val="19"/>
              </w:rPr>
              <w:t>Contract criterion</w:t>
            </w:r>
          </w:p>
        </w:tc>
        <w:tc>
          <w:tcPr>
            <w:tcW w:type="dxa" w:w="3816"/>
            <w:vAlign w:val="center"/>
            <w:tcMar>
              <w:top w:w="80" w:type="dxa"/>
              <w:start w:w="120" w:type="dxa"/>
              <w:bottom w:w="80" w:type="dxa"/>
              <w:end w:w="120" w:type="dxa"/>
            </w:tcMar>
            <w:shd w:fill="F2F4F7"/>
          </w:tcPr>
          <w:p>
            <w:pPr>
              <w:spacing w:before="0" w:after="40"/>
            </w:pPr>
            <w:r>
              <w:rPr>
                <w:rFonts w:ascii="Calibri" w:hAnsi="Calibri"/>
                <w:b/>
                <w:color w:val="0B2545"/>
                <w:sz w:val="19"/>
              </w:rPr>
              <w:t>Automated coverage</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G1</w:t>
            </w:r>
          </w:p>
        </w:tc>
        <w:tc>
          <w:tcPr>
            <w:tcW w:type="dxa" w:w="4464"/>
            <w:vAlign w:val="center"/>
            <w:tcMar>
              <w:top w:w="80" w:type="dxa"/>
              <w:start w:w="120" w:type="dxa"/>
              <w:bottom w:w="80" w:type="dxa"/>
              <w:end w:w="120" w:type="dxa"/>
            </w:tcMar>
          </w:tcPr>
          <w:p>
            <w:pPr>
              <w:spacing w:before="0" w:after="40"/>
            </w:pPr>
            <w:r>
              <w:rPr>
                <w:rFonts w:ascii="Calibri" w:hAnsi="Calibri"/>
                <w:b w:val="0"/>
                <w:sz w:val="19"/>
              </w:rPr>
              <w:t>Returns HTTP 200 with Content-Type application/json.</w:t>
            </w:r>
          </w:p>
        </w:tc>
        <w:tc>
          <w:tcPr>
            <w:tcW w:type="dxa" w:w="3816"/>
            <w:vAlign w:val="center"/>
            <w:tcMar>
              <w:top w:w="80" w:type="dxa"/>
              <w:start w:w="120" w:type="dxa"/>
              <w:bottom w:w="80" w:type="dxa"/>
              <w:end w:w="120" w:type="dxa"/>
            </w:tcMar>
          </w:tcPr>
          <w:p>
            <w:pPr>
              <w:spacing w:before="0" w:after="40"/>
            </w:pPr>
            <w:r>
              <w:rPr>
                <w:rFonts w:ascii="Calibri" w:hAnsi="Calibri"/>
                <w:b w:val="0"/>
                <w:sz w:val="19"/>
              </w:rPr>
              <w:t>listMediaBuyersReturnsJsonArrayMatchingSchema</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G2</w:t>
            </w:r>
          </w:p>
        </w:tc>
        <w:tc>
          <w:tcPr>
            <w:tcW w:type="dxa" w:w="4464"/>
            <w:vAlign w:val="center"/>
            <w:tcMar>
              <w:top w:w="80" w:type="dxa"/>
              <w:start w:w="120" w:type="dxa"/>
              <w:bottom w:w="80" w:type="dxa"/>
              <w:end w:w="120" w:type="dxa"/>
            </w:tcMar>
          </w:tcPr>
          <w:p>
            <w:pPr>
              <w:spacing w:before="0" w:after="40"/>
            </w:pPr>
            <w:r>
              <w:rPr>
                <w:rFonts w:ascii="Calibri" w:hAnsi="Calibri"/>
                <w:b w:val="0"/>
                <w:sz w:val="19"/>
              </w:rPr>
              <w:t>Response matches get-media-buyers-schema.json.</w:t>
            </w:r>
          </w:p>
        </w:tc>
        <w:tc>
          <w:tcPr>
            <w:tcW w:type="dxa" w:w="3816"/>
            <w:vAlign w:val="center"/>
            <w:tcMar>
              <w:top w:w="80" w:type="dxa"/>
              <w:start w:w="120" w:type="dxa"/>
              <w:bottom w:w="80" w:type="dxa"/>
              <w:end w:w="120" w:type="dxa"/>
            </w:tcMar>
          </w:tcPr>
          <w:p>
            <w:pPr>
              <w:spacing w:before="0" w:after="40"/>
            </w:pPr>
            <w:r>
              <w:rPr>
                <w:rFonts w:ascii="Calibri" w:hAnsi="Calibri"/>
                <w:b w:val="0"/>
                <w:sz w:val="19"/>
              </w:rPr>
              <w:t>listMediaBuyersReturnsJsonArrayMatchingSchema</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G3</w:t>
            </w:r>
          </w:p>
        </w:tc>
        <w:tc>
          <w:tcPr>
            <w:tcW w:type="dxa" w:w="4464"/>
            <w:vAlign w:val="center"/>
            <w:tcMar>
              <w:top w:w="80" w:type="dxa"/>
              <w:start w:w="120" w:type="dxa"/>
              <w:bottom w:w="80" w:type="dxa"/>
              <w:end w:w="120" w:type="dxa"/>
            </w:tcMar>
          </w:tcPr>
          <w:p>
            <w:pPr>
              <w:spacing w:before="0" w:after="40"/>
            </w:pPr>
            <w:r>
              <w:rPr>
                <w:rFonts w:ascii="Calibri" w:hAnsi="Calibri"/>
                <w:b w:val="0"/>
                <w:sz w:val="19"/>
              </w:rPr>
              <w:t>data is always an array, including empty state.</w:t>
            </w:r>
          </w:p>
        </w:tc>
        <w:tc>
          <w:tcPr>
            <w:tcW w:type="dxa" w:w="3816"/>
            <w:vAlign w:val="center"/>
            <w:tcMar>
              <w:top w:w="80" w:type="dxa"/>
              <w:start w:w="120" w:type="dxa"/>
              <w:bottom w:w="80" w:type="dxa"/>
              <w:end w:w="120" w:type="dxa"/>
            </w:tcMar>
          </w:tcPr>
          <w:p>
            <w:pPr>
              <w:spacing w:before="0" w:after="40"/>
            </w:pPr>
            <w:r>
              <w:rPr>
                <w:rFonts w:ascii="Calibri" w:hAnsi="Calibri"/>
                <w:b w:val="0"/>
                <w:sz w:val="19"/>
              </w:rPr>
              <w:t>listMediaBuyersReturnsJsonArrayMatchingSchema; emptyMediaBuyerListStillReturnsDataArray</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G4</w:t>
            </w:r>
          </w:p>
        </w:tc>
        <w:tc>
          <w:tcPr>
            <w:tcW w:type="dxa" w:w="4464"/>
            <w:vAlign w:val="center"/>
            <w:tcMar>
              <w:top w:w="80" w:type="dxa"/>
              <w:start w:w="120" w:type="dxa"/>
              <w:bottom w:w="80" w:type="dxa"/>
              <w:end w:w="120" w:type="dxa"/>
            </w:tcMar>
          </w:tcPr>
          <w:p>
            <w:pPr>
              <w:spacing w:before="0" w:after="40"/>
            </w:pPr>
            <w:r>
              <w:rPr>
                <w:rFonts w:ascii="Calibri" w:hAnsi="Calibri"/>
                <w:b w:val="0"/>
                <w:sz w:val="19"/>
              </w:rPr>
              <w:t>Each item includes id, mbId, initials, name, email, slackUserId, active.</w:t>
            </w:r>
          </w:p>
        </w:tc>
        <w:tc>
          <w:tcPr>
            <w:tcW w:type="dxa" w:w="3816"/>
            <w:vAlign w:val="center"/>
            <w:tcMar>
              <w:top w:w="80" w:type="dxa"/>
              <w:start w:w="120" w:type="dxa"/>
              <w:bottom w:w="80" w:type="dxa"/>
              <w:end w:w="120" w:type="dxa"/>
            </w:tcMar>
          </w:tcPr>
          <w:p>
            <w:pPr>
              <w:spacing w:before="0" w:after="40"/>
            </w:pPr>
            <w:r>
              <w:rPr>
                <w:rFonts w:ascii="Calibri" w:hAnsi="Calibri"/>
                <w:b w:val="0"/>
                <w:sz w:val="19"/>
              </w:rPr>
              <w:t>seeEveryListedBuyerHasRequiredFields helper</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G5</w:t>
            </w:r>
          </w:p>
        </w:tc>
        <w:tc>
          <w:tcPr>
            <w:tcW w:type="dxa" w:w="4464"/>
            <w:vAlign w:val="center"/>
            <w:tcMar>
              <w:top w:w="80" w:type="dxa"/>
              <w:start w:w="120" w:type="dxa"/>
              <w:bottom w:w="80" w:type="dxa"/>
              <w:end w:w="120" w:type="dxa"/>
            </w:tcMar>
          </w:tcPr>
          <w:p>
            <w:pPr>
              <w:spacing w:before="0" w:after="40"/>
            </w:pPr>
            <w:r>
              <w:rPr>
                <w:rFonts w:ascii="Calibri" w:hAnsi="Calibri"/>
                <w:b w:val="0"/>
                <w:sz w:val="19"/>
              </w:rPr>
              <w:t>email values are syntactically valid.</w:t>
            </w:r>
          </w:p>
        </w:tc>
        <w:tc>
          <w:tcPr>
            <w:tcW w:type="dxa" w:w="3816"/>
            <w:vAlign w:val="center"/>
            <w:tcMar>
              <w:top w:w="80" w:type="dxa"/>
              <w:start w:w="120" w:type="dxa"/>
              <w:bottom w:w="80" w:type="dxa"/>
              <w:end w:w="120" w:type="dxa"/>
            </w:tcMar>
          </w:tcPr>
          <w:p>
            <w:pPr>
              <w:spacing w:before="0" w:after="40"/>
            </w:pPr>
            <w:r>
              <w:rPr>
                <w:rFonts w:ascii="Calibri" w:hAnsi="Calibri"/>
                <w:b w:val="0"/>
                <w:sz w:val="19"/>
              </w:rPr>
              <w:t>listedMediaBuyersRespectFieldLevelContract</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G6</w:t>
            </w:r>
          </w:p>
        </w:tc>
        <w:tc>
          <w:tcPr>
            <w:tcW w:type="dxa" w:w="4464"/>
            <w:vAlign w:val="center"/>
            <w:tcMar>
              <w:top w:w="80" w:type="dxa"/>
              <w:start w:w="120" w:type="dxa"/>
              <w:bottom w:w="80" w:type="dxa"/>
              <w:end w:w="120" w:type="dxa"/>
            </w:tcMar>
          </w:tcPr>
          <w:p>
            <w:pPr>
              <w:spacing w:before="0" w:after="40"/>
            </w:pPr>
            <w:r>
              <w:rPr>
                <w:rFonts w:ascii="Calibri" w:hAnsi="Calibri"/>
                <w:b w:val="0"/>
                <w:sz w:val="19"/>
              </w:rPr>
              <w:t>active is integer 0 or 1, not boolean/string.</w:t>
            </w:r>
          </w:p>
        </w:tc>
        <w:tc>
          <w:tcPr>
            <w:tcW w:type="dxa" w:w="3816"/>
            <w:vAlign w:val="center"/>
            <w:tcMar>
              <w:top w:w="80" w:type="dxa"/>
              <w:start w:w="120" w:type="dxa"/>
              <w:bottom w:w="80" w:type="dxa"/>
              <w:end w:w="120" w:type="dxa"/>
            </w:tcMar>
          </w:tcPr>
          <w:p>
            <w:pPr>
              <w:spacing w:before="0" w:after="40"/>
            </w:pPr>
            <w:r>
              <w:rPr>
                <w:rFonts w:ascii="Calibri" w:hAnsi="Calibri"/>
                <w:b w:val="0"/>
                <w:sz w:val="19"/>
              </w:rPr>
              <w:t>listedMediaBuyersRespectFieldLevelContract</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G7</w:t>
            </w:r>
          </w:p>
        </w:tc>
        <w:tc>
          <w:tcPr>
            <w:tcW w:type="dxa" w:w="4464"/>
            <w:vAlign w:val="center"/>
            <w:tcMar>
              <w:top w:w="80" w:type="dxa"/>
              <w:start w:w="120" w:type="dxa"/>
              <w:bottom w:w="80" w:type="dxa"/>
              <w:end w:w="120" w:type="dxa"/>
            </w:tcMar>
          </w:tcPr>
          <w:p>
            <w:pPr>
              <w:spacing w:before="0" w:after="40"/>
            </w:pPr>
            <w:r>
              <w:rPr>
                <w:rFonts w:ascii="Calibri" w:hAnsi="Calibri"/>
                <w:b w:val="0"/>
                <w:sz w:val="19"/>
              </w:rPr>
              <w:t>id values are unique across response.</w:t>
            </w:r>
          </w:p>
        </w:tc>
        <w:tc>
          <w:tcPr>
            <w:tcW w:type="dxa" w:w="3816"/>
            <w:vAlign w:val="center"/>
            <w:tcMar>
              <w:top w:w="80" w:type="dxa"/>
              <w:start w:w="120" w:type="dxa"/>
              <w:bottom w:w="80" w:type="dxa"/>
              <w:end w:w="120" w:type="dxa"/>
            </w:tcMar>
          </w:tcPr>
          <w:p>
            <w:pPr>
              <w:spacing w:before="0" w:after="40"/>
            </w:pPr>
            <w:r>
              <w:rPr>
                <w:rFonts w:ascii="Calibri" w:hAnsi="Calibri"/>
                <w:b w:val="0"/>
                <w:sz w:val="19"/>
              </w:rPr>
              <w:t>listedMediaBuyerIdsAreUnique</w:t>
            </w:r>
          </w:p>
        </w:tc>
      </w:tr>
    </w:tbl>
    <w:p>
      <w:pPr>
        <w:keepNext/>
        <w:spacing w:before="240" w:after="120"/>
      </w:pPr>
      <w:r>
        <w:rPr>
          <w:rFonts w:ascii="Calibri" w:hAnsi="Calibri"/>
          <w:b/>
          <w:color w:val="2E74B5"/>
          <w:sz w:val="26"/>
        </w:rPr>
        <w:t>POST /api/mediabuyers</w:t>
      </w:r>
    </w:p>
    <w:tbl>
      <w:tblPr>
        <w:tblStyle w:val="TableGrid"/>
        <w:tblW w:type="auto" w:w="0"/>
        <w:tblLayout w:type="fixed"/>
        <w:tblLook w:firstColumn="1" w:firstRow="1" w:lastColumn="0" w:lastRow="0" w:noHBand="0" w:noVBand="1" w:val="04A0"/>
        <w:tblInd w:w="120" w:type="dxa"/>
      </w:tblPr>
      <w:tblGrid>
        <w:gridCol w:w="3120"/>
        <w:gridCol w:w="3120"/>
        <w:gridCol w:w="3120"/>
      </w:tblGrid>
      <w:tr>
        <w:tc>
          <w:tcPr>
            <w:tcW w:type="dxa" w:w="792"/>
            <w:vAlign w:val="center"/>
            <w:tcMar>
              <w:top w:w="80" w:type="dxa"/>
              <w:start w:w="120" w:type="dxa"/>
              <w:bottom w:w="80" w:type="dxa"/>
              <w:end w:w="120" w:type="dxa"/>
            </w:tcMar>
            <w:shd w:fill="F2F4F7"/>
          </w:tcPr>
          <w:p>
            <w:pPr>
              <w:spacing w:before="0" w:after="40"/>
            </w:pPr>
            <w:r>
              <w:rPr>
                <w:rFonts w:ascii="Calibri" w:hAnsi="Calibri"/>
                <w:b/>
                <w:color w:val="0B2545"/>
                <w:sz w:val="19"/>
              </w:rPr>
              <w:t>ID</w:t>
            </w:r>
          </w:p>
        </w:tc>
        <w:tc>
          <w:tcPr>
            <w:tcW w:type="dxa" w:w="4464"/>
            <w:vAlign w:val="center"/>
            <w:tcMar>
              <w:top w:w="80" w:type="dxa"/>
              <w:start w:w="120" w:type="dxa"/>
              <w:bottom w:w="80" w:type="dxa"/>
              <w:end w:w="120" w:type="dxa"/>
            </w:tcMar>
            <w:shd w:fill="F2F4F7"/>
          </w:tcPr>
          <w:p>
            <w:pPr>
              <w:spacing w:before="0" w:after="40"/>
            </w:pPr>
            <w:r>
              <w:rPr>
                <w:rFonts w:ascii="Calibri" w:hAnsi="Calibri"/>
                <w:b/>
                <w:color w:val="0B2545"/>
                <w:sz w:val="19"/>
              </w:rPr>
              <w:t>Contract criterion</w:t>
            </w:r>
          </w:p>
        </w:tc>
        <w:tc>
          <w:tcPr>
            <w:tcW w:type="dxa" w:w="3816"/>
            <w:vAlign w:val="center"/>
            <w:tcMar>
              <w:top w:w="80" w:type="dxa"/>
              <w:start w:w="120" w:type="dxa"/>
              <w:bottom w:w="80" w:type="dxa"/>
              <w:end w:w="120" w:type="dxa"/>
            </w:tcMar>
            <w:shd w:fill="F2F4F7"/>
          </w:tcPr>
          <w:p>
            <w:pPr>
              <w:spacing w:before="0" w:after="40"/>
            </w:pPr>
            <w:r>
              <w:rPr>
                <w:rFonts w:ascii="Calibri" w:hAnsi="Calibri"/>
                <w:b/>
                <w:color w:val="0B2545"/>
                <w:sz w:val="19"/>
              </w:rPr>
              <w:t>Automated coverage</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P1</w:t>
            </w:r>
          </w:p>
        </w:tc>
        <w:tc>
          <w:tcPr>
            <w:tcW w:type="dxa" w:w="4464"/>
            <w:vAlign w:val="center"/>
            <w:tcMar>
              <w:top w:w="80" w:type="dxa"/>
              <w:start w:w="120" w:type="dxa"/>
              <w:bottom w:w="80" w:type="dxa"/>
              <w:end w:w="120" w:type="dxa"/>
            </w:tcMar>
          </w:tcPr>
          <w:p>
            <w:pPr>
              <w:spacing w:before="0" w:after="40"/>
            </w:pPr>
            <w:r>
              <w:rPr>
                <w:rFonts w:ascii="Calibri" w:hAnsi="Calibri"/>
                <w:b w:val="0"/>
                <w:sz w:val="19"/>
              </w:rPr>
              <w:t>Valid request returns 200, JSON, and post schema.</w:t>
            </w:r>
          </w:p>
        </w:tc>
        <w:tc>
          <w:tcPr>
            <w:tcW w:type="dxa" w:w="3816"/>
            <w:vAlign w:val="center"/>
            <w:tcMar>
              <w:top w:w="80" w:type="dxa"/>
              <w:start w:w="120" w:type="dxa"/>
              <w:bottom w:w="80" w:type="dxa"/>
              <w:end w:w="120" w:type="dxa"/>
            </w:tcMar>
          </w:tcPr>
          <w:p>
            <w:pPr>
              <w:spacing w:before="0" w:after="40"/>
            </w:pPr>
            <w:r>
              <w:rPr>
                <w:rFonts w:ascii="Calibri" w:hAnsi="Calibri"/>
                <w:b w:val="0"/>
                <w:sz w:val="19"/>
              </w:rPr>
              <w:t>createMediaBuyerMapsBooleanActiveToInteger</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P2</w:t>
            </w:r>
          </w:p>
        </w:tc>
        <w:tc>
          <w:tcPr>
            <w:tcW w:type="dxa" w:w="4464"/>
            <w:vAlign w:val="center"/>
            <w:tcMar>
              <w:top w:w="80" w:type="dxa"/>
              <w:start w:w="120" w:type="dxa"/>
              <w:bottom w:w="80" w:type="dxa"/>
              <w:end w:w="120" w:type="dxa"/>
            </w:tcMar>
          </w:tcPr>
          <w:p>
            <w:pPr>
              <w:spacing w:before="0" w:after="40"/>
            </w:pPr>
            <w:r>
              <w:rPr>
                <w:rFonts w:ascii="Calibri" w:hAnsi="Calibri"/>
                <w:b w:val="0"/>
                <w:sz w:val="19"/>
              </w:rPr>
              <w:t>data.id is server-generated positive integer.</w:t>
            </w:r>
          </w:p>
        </w:tc>
        <w:tc>
          <w:tcPr>
            <w:tcW w:type="dxa" w:w="3816"/>
            <w:vAlign w:val="center"/>
            <w:tcMar>
              <w:top w:w="80" w:type="dxa"/>
              <w:start w:w="120" w:type="dxa"/>
              <w:bottom w:w="80" w:type="dxa"/>
              <w:end w:w="120" w:type="dxa"/>
            </w:tcMar>
          </w:tcPr>
          <w:p>
            <w:pPr>
              <w:spacing w:before="0" w:after="40"/>
            </w:pPr>
            <w:r>
              <w:rPr>
                <w:rFonts w:ascii="Calibri" w:hAnsi="Calibri"/>
                <w:b w:val="0"/>
                <w:sz w:val="19"/>
              </w:rPr>
              <w:t>seeServerGeneratedPositiveId helper</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P3</w:t>
            </w:r>
          </w:p>
        </w:tc>
        <w:tc>
          <w:tcPr>
            <w:tcW w:type="dxa" w:w="4464"/>
            <w:vAlign w:val="center"/>
            <w:tcMar>
              <w:top w:w="80" w:type="dxa"/>
              <w:start w:w="120" w:type="dxa"/>
              <w:bottom w:w="80" w:type="dxa"/>
              <w:end w:w="120" w:type="dxa"/>
            </w:tcMar>
          </w:tcPr>
          <w:p>
            <w:pPr>
              <w:spacing w:before="0" w:after="40"/>
            </w:pPr>
            <w:r>
              <w:rPr>
                <w:rFonts w:ascii="Calibri" w:hAnsi="Calibri"/>
                <w:b w:val="0"/>
                <w:sz w:val="19"/>
              </w:rPr>
              <w:t>Created buyer echoes mbId, initials, name, email, slackUserId.</w:t>
            </w:r>
          </w:p>
        </w:tc>
        <w:tc>
          <w:tcPr>
            <w:tcW w:type="dxa" w:w="3816"/>
            <w:vAlign w:val="center"/>
            <w:tcMar>
              <w:top w:w="80" w:type="dxa"/>
              <w:start w:w="120" w:type="dxa"/>
              <w:bottom w:w="80" w:type="dxa"/>
              <w:end w:w="120" w:type="dxa"/>
            </w:tcMar>
          </w:tcPr>
          <w:p>
            <w:pPr>
              <w:spacing w:before="0" w:after="40"/>
            </w:pPr>
            <w:r>
              <w:rPr>
                <w:rFonts w:ascii="Calibri" w:hAnsi="Calibri"/>
                <w:b w:val="0"/>
                <w:sz w:val="19"/>
              </w:rPr>
              <w:t>seeCreatedBuyerMatchesPayload helper</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P4</w:t>
            </w:r>
          </w:p>
        </w:tc>
        <w:tc>
          <w:tcPr>
            <w:tcW w:type="dxa" w:w="4464"/>
            <w:vAlign w:val="center"/>
            <w:tcMar>
              <w:top w:w="80" w:type="dxa"/>
              <w:start w:w="120" w:type="dxa"/>
              <w:bottom w:w="80" w:type="dxa"/>
              <w:end w:w="120" w:type="dxa"/>
            </w:tcMar>
          </w:tcPr>
          <w:p>
            <w:pPr>
              <w:spacing w:before="0" w:after="40"/>
            </w:pPr>
            <w:r>
              <w:rPr>
                <w:rFonts w:ascii="Calibri" w:hAnsi="Calibri"/>
                <w:b w:val="0"/>
                <w:sz w:val="19"/>
              </w:rPr>
              <w:t>active true -&gt; 1 and false -&gt; 0.</w:t>
            </w:r>
          </w:p>
        </w:tc>
        <w:tc>
          <w:tcPr>
            <w:tcW w:type="dxa" w:w="3816"/>
            <w:vAlign w:val="center"/>
            <w:tcMar>
              <w:top w:w="80" w:type="dxa"/>
              <w:start w:w="120" w:type="dxa"/>
              <w:bottom w:w="80" w:type="dxa"/>
              <w:end w:w="120" w:type="dxa"/>
            </w:tcMar>
          </w:tcPr>
          <w:p>
            <w:pPr>
              <w:spacing w:before="0" w:after="40"/>
            </w:pPr>
            <w:r>
              <w:rPr>
                <w:rFonts w:ascii="Calibri" w:hAnsi="Calibri"/>
                <w:b w:val="0"/>
                <w:sz w:val="19"/>
              </w:rPr>
              <w:t>Parameterized examples for true and false</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P5</w:t>
            </w:r>
          </w:p>
        </w:tc>
        <w:tc>
          <w:tcPr>
            <w:tcW w:type="dxa" w:w="4464"/>
            <w:vAlign w:val="center"/>
            <w:tcMar>
              <w:top w:w="80" w:type="dxa"/>
              <w:start w:w="120" w:type="dxa"/>
              <w:bottom w:w="80" w:type="dxa"/>
              <w:end w:w="120" w:type="dxa"/>
            </w:tcMar>
          </w:tcPr>
          <w:p>
            <w:pPr>
              <w:spacing w:before="0" w:after="40"/>
            </w:pPr>
            <w:r>
              <w:rPr>
                <w:rFonts w:ascii="Calibri" w:hAnsi="Calibri"/>
                <w:b w:val="0"/>
                <w:sz w:val="19"/>
              </w:rPr>
              <w:t>Missing required fields return 400 and name missing field.</w:t>
            </w:r>
          </w:p>
        </w:tc>
        <w:tc>
          <w:tcPr>
            <w:tcW w:type="dxa" w:w="3816"/>
            <w:vAlign w:val="center"/>
            <w:tcMar>
              <w:top w:w="80" w:type="dxa"/>
              <w:start w:w="120" w:type="dxa"/>
              <w:bottom w:w="80" w:type="dxa"/>
              <w:end w:w="120" w:type="dxa"/>
            </w:tcMar>
          </w:tcPr>
          <w:p>
            <w:pPr>
              <w:spacing w:before="0" w:after="40"/>
            </w:pPr>
            <w:r>
              <w:rPr>
                <w:rFonts w:ascii="Calibri" w:hAnsi="Calibri"/>
                <w:b w:val="0"/>
                <w:sz w:val="19"/>
              </w:rPr>
              <w:t>requiredFieldsAreValidated examples</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P6</w:t>
            </w:r>
          </w:p>
        </w:tc>
        <w:tc>
          <w:tcPr>
            <w:tcW w:type="dxa" w:w="4464"/>
            <w:vAlign w:val="center"/>
            <w:tcMar>
              <w:top w:w="80" w:type="dxa"/>
              <w:start w:w="120" w:type="dxa"/>
              <w:bottom w:w="80" w:type="dxa"/>
              <w:end w:w="120" w:type="dxa"/>
            </w:tcMar>
          </w:tcPr>
          <w:p>
            <w:pPr>
              <w:spacing w:before="0" w:after="40"/>
            </w:pPr>
            <w:r>
              <w:rPr>
                <w:rFonts w:ascii="Calibri" w:hAnsi="Calibri"/>
                <w:b w:val="0"/>
                <w:sz w:val="19"/>
              </w:rPr>
              <w:t>not-an-email returns 400 and mentions invalid email.</w:t>
            </w:r>
          </w:p>
        </w:tc>
        <w:tc>
          <w:tcPr>
            <w:tcW w:type="dxa" w:w="3816"/>
            <w:vAlign w:val="center"/>
            <w:tcMar>
              <w:top w:w="80" w:type="dxa"/>
              <w:start w:w="120" w:type="dxa"/>
              <w:bottom w:w="80" w:type="dxa"/>
              <w:end w:w="120" w:type="dxa"/>
            </w:tcMar>
          </w:tcPr>
          <w:p>
            <w:pPr>
              <w:spacing w:before="0" w:after="40"/>
            </w:pPr>
            <w:r>
              <w:rPr>
                <w:rFonts w:ascii="Calibri" w:hAnsi="Calibri"/>
                <w:b w:val="0"/>
                <w:sz w:val="19"/>
              </w:rPr>
              <w:t>invalidEmailIsRejected</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P7</w:t>
            </w:r>
          </w:p>
        </w:tc>
        <w:tc>
          <w:tcPr>
            <w:tcW w:type="dxa" w:w="4464"/>
            <w:vAlign w:val="center"/>
            <w:tcMar>
              <w:top w:w="80" w:type="dxa"/>
              <w:start w:w="120" w:type="dxa"/>
              <w:bottom w:w="80" w:type="dxa"/>
              <w:end w:w="120" w:type="dxa"/>
            </w:tcMar>
          </w:tcPr>
          <w:p>
            <w:pPr>
              <w:spacing w:before="0" w:after="40"/>
            </w:pPr>
            <w:r>
              <w:rPr>
                <w:rFonts w:ascii="Calibri" w:hAnsi="Calibri"/>
                <w:b w:val="0"/>
                <w:sz w:val="19"/>
              </w:rPr>
              <w:t>initials longer than 2 returns exact message.</w:t>
            </w:r>
          </w:p>
        </w:tc>
        <w:tc>
          <w:tcPr>
            <w:tcW w:type="dxa" w:w="3816"/>
            <w:vAlign w:val="center"/>
            <w:tcMar>
              <w:top w:w="80" w:type="dxa"/>
              <w:start w:w="120" w:type="dxa"/>
              <w:bottom w:w="80" w:type="dxa"/>
              <w:end w:w="120" w:type="dxa"/>
            </w:tcMar>
          </w:tcPr>
          <w:p>
            <w:pPr>
              <w:spacing w:before="0" w:after="40"/>
            </w:pPr>
            <w:r>
              <w:rPr>
                <w:rFonts w:ascii="Calibri" w:hAnsi="Calibri"/>
                <w:b w:val="0"/>
                <w:sz w:val="19"/>
              </w:rPr>
              <w:t>invalidInitialsLengthIsRejected</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P8</w:t>
            </w:r>
          </w:p>
        </w:tc>
        <w:tc>
          <w:tcPr>
            <w:tcW w:type="dxa" w:w="4464"/>
            <w:vAlign w:val="center"/>
            <w:tcMar>
              <w:top w:w="80" w:type="dxa"/>
              <w:start w:w="120" w:type="dxa"/>
              <w:bottom w:w="80" w:type="dxa"/>
              <w:end w:w="120" w:type="dxa"/>
            </w:tcMar>
          </w:tcPr>
          <w:p>
            <w:pPr>
              <w:spacing w:before="0" w:after="40"/>
            </w:pPr>
            <w:r>
              <w:rPr>
                <w:rFonts w:ascii="Calibri" w:hAnsi="Calibri"/>
                <w:b w:val="0"/>
                <w:sz w:val="19"/>
              </w:rPr>
              <w:t>name shorter than 2 or longer than 30 returns length error.</w:t>
            </w:r>
          </w:p>
        </w:tc>
        <w:tc>
          <w:tcPr>
            <w:tcW w:type="dxa" w:w="3816"/>
            <w:vAlign w:val="center"/>
            <w:tcMar>
              <w:top w:w="80" w:type="dxa"/>
              <w:start w:w="120" w:type="dxa"/>
              <w:bottom w:w="80" w:type="dxa"/>
              <w:end w:w="120" w:type="dxa"/>
            </w:tcMar>
          </w:tcPr>
          <w:p>
            <w:pPr>
              <w:spacing w:before="0" w:after="40"/>
            </w:pPr>
            <w:r>
              <w:rPr>
                <w:rFonts w:ascii="Calibri" w:hAnsi="Calibri"/>
                <w:b w:val="0"/>
                <w:sz w:val="19"/>
              </w:rPr>
              <w:t>invalidNameLengthIsRejected examples</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P9</w:t>
            </w:r>
          </w:p>
        </w:tc>
        <w:tc>
          <w:tcPr>
            <w:tcW w:type="dxa" w:w="4464"/>
            <w:vAlign w:val="center"/>
            <w:tcMar>
              <w:top w:w="80" w:type="dxa"/>
              <w:start w:w="120" w:type="dxa"/>
              <w:bottom w:w="80" w:type="dxa"/>
              <w:end w:w="120" w:type="dxa"/>
            </w:tcMar>
          </w:tcPr>
          <w:p>
            <w:pPr>
              <w:spacing w:before="0" w:after="40"/>
            </w:pPr>
            <w:r>
              <w:rPr>
                <w:rFonts w:ascii="Calibri" w:hAnsi="Calibri"/>
                <w:b w:val="0"/>
                <w:sz w:val="19"/>
              </w:rPr>
              <w:t>mbId abc returns 400.</w:t>
            </w:r>
          </w:p>
        </w:tc>
        <w:tc>
          <w:tcPr>
            <w:tcW w:type="dxa" w:w="3816"/>
            <w:vAlign w:val="center"/>
            <w:tcMar>
              <w:top w:w="80" w:type="dxa"/>
              <w:start w:w="120" w:type="dxa"/>
              <w:bottom w:w="80" w:type="dxa"/>
              <w:end w:w="120" w:type="dxa"/>
            </w:tcMar>
          </w:tcPr>
          <w:p>
            <w:pPr>
              <w:spacing w:before="0" w:after="40"/>
            </w:pPr>
            <w:r>
              <w:rPr>
                <w:rFonts w:ascii="Calibri" w:hAnsi="Calibri"/>
                <w:b w:val="0"/>
                <w:sz w:val="19"/>
              </w:rPr>
              <w:t>nonNumericMbIdIsRejected</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P10</w:t>
            </w:r>
          </w:p>
        </w:tc>
        <w:tc>
          <w:tcPr>
            <w:tcW w:type="dxa" w:w="4464"/>
            <w:vAlign w:val="center"/>
            <w:tcMar>
              <w:top w:w="80" w:type="dxa"/>
              <w:start w:w="120" w:type="dxa"/>
              <w:bottom w:w="80" w:type="dxa"/>
              <w:end w:w="120" w:type="dxa"/>
            </w:tcMar>
          </w:tcPr>
          <w:p>
            <w:pPr>
              <w:spacing w:before="0" w:after="40"/>
            </w:pPr>
            <w:r>
              <w:rPr>
                <w:rFonts w:ascii="Calibri" w:hAnsi="Calibri"/>
                <w:b w:val="0"/>
                <w:sz w:val="19"/>
              </w:rPr>
              <w:t>active yes returns 400.</w:t>
            </w:r>
          </w:p>
        </w:tc>
        <w:tc>
          <w:tcPr>
            <w:tcW w:type="dxa" w:w="3816"/>
            <w:vAlign w:val="center"/>
            <w:tcMar>
              <w:top w:w="80" w:type="dxa"/>
              <w:start w:w="120" w:type="dxa"/>
              <w:bottom w:w="80" w:type="dxa"/>
              <w:end w:w="120" w:type="dxa"/>
            </w:tcMar>
          </w:tcPr>
          <w:p>
            <w:pPr>
              <w:spacing w:before="0" w:after="40"/>
            </w:pPr>
            <w:r>
              <w:rPr>
                <w:rFonts w:ascii="Calibri" w:hAnsi="Calibri"/>
                <w:b w:val="0"/>
                <w:sz w:val="19"/>
              </w:rPr>
              <w:t>nonBooleanActiveIsRejected</w:t>
            </w:r>
          </w:p>
        </w:tc>
      </w:tr>
      <w:tr>
        <w:tc>
          <w:tcPr>
            <w:tcW w:type="dxa" w:w="792"/>
            <w:vAlign w:val="center"/>
            <w:tcMar>
              <w:top w:w="80" w:type="dxa"/>
              <w:start w:w="120" w:type="dxa"/>
              <w:bottom w:w="80" w:type="dxa"/>
              <w:end w:w="120" w:type="dxa"/>
            </w:tcMar>
          </w:tcPr>
          <w:p>
            <w:pPr>
              <w:spacing w:before="0" w:after="40"/>
            </w:pPr>
            <w:r>
              <w:rPr>
                <w:rFonts w:ascii="Calibri" w:hAnsi="Calibri"/>
                <w:b w:val="0"/>
                <w:sz w:val="19"/>
              </w:rPr>
              <w:t>P11</w:t>
            </w:r>
          </w:p>
        </w:tc>
        <w:tc>
          <w:tcPr>
            <w:tcW w:type="dxa" w:w="4464"/>
            <w:vAlign w:val="center"/>
            <w:tcMar>
              <w:top w:w="80" w:type="dxa"/>
              <w:start w:w="120" w:type="dxa"/>
              <w:bottom w:w="80" w:type="dxa"/>
              <w:end w:w="120" w:type="dxa"/>
            </w:tcMar>
          </w:tcPr>
          <w:p>
            <w:pPr>
              <w:spacing w:before="0" w:after="40"/>
            </w:pPr>
            <w:r>
              <w:rPr>
                <w:rFonts w:ascii="Calibri" w:hAnsi="Calibri"/>
                <w:b w:val="0"/>
                <w:sz w:val="19"/>
              </w:rPr>
              <w:t>Duplicate mbId fails on second request.</w:t>
            </w:r>
          </w:p>
        </w:tc>
        <w:tc>
          <w:tcPr>
            <w:tcW w:type="dxa" w:w="3816"/>
            <w:vAlign w:val="center"/>
            <w:tcMar>
              <w:top w:w="80" w:type="dxa"/>
              <w:start w:w="120" w:type="dxa"/>
              <w:bottom w:w="80" w:type="dxa"/>
              <w:end w:w="120" w:type="dxa"/>
            </w:tcMar>
          </w:tcPr>
          <w:p>
            <w:pPr>
              <w:spacing w:before="0" w:after="40"/>
            </w:pPr>
            <w:r>
              <w:rPr>
                <w:rFonts w:ascii="Calibri" w:hAnsi="Calibri"/>
                <w:b w:val="0"/>
                <w:sz w:val="19"/>
              </w:rPr>
              <w:t>duplicateMbIdIsRejectedOnSecondCreate</w:t>
            </w:r>
          </w:p>
        </w:tc>
      </w:tr>
    </w:tbl>
    <w:p>
      <w:pPr>
        <w:keepNext/>
        <w:spacing w:before="320" w:after="160"/>
      </w:pPr>
      <w:r>
        <w:rPr>
          <w:rFonts w:ascii="Calibri" w:hAnsi="Calibri"/>
          <w:b/>
          <w:color w:val="2E74B5"/>
          <w:sz w:val="32"/>
        </w:rPr>
        <w:t>Assumptions and Open Questions</w:t>
      </w:r>
    </w:p>
    <w:p>
      <w:pPr>
        <w:pStyle w:val="ListBullet"/>
        <w:spacing w:after="80" w:line="264" w:lineRule="auto"/>
      </w:pPr>
      <w:r>
        <w:rPr>
          <w:rFonts w:ascii="Calibri" w:hAnsi="Calibri"/>
          <w:sz w:val="21"/>
        </w:rPr>
        <w:t>API_BASE_URL includes the /api prefix; tests call /mediabuyers relative to that base.</w:t>
      </w:r>
    </w:p>
    <w:p>
      <w:pPr>
        <w:pStyle w:val="ListBullet"/>
        <w:spacing w:after="80" w:line="264" w:lineRule="auto"/>
      </w:pPr>
      <w:r>
        <w:rPr>
          <w:rFonts w:ascii="Calibri" w:hAnsi="Calibri"/>
          <w:sz w:val="21"/>
        </w:rPr>
        <w:t>Content-Type may include a charset; tests assert application/json is present.</w:t>
      </w:r>
    </w:p>
    <w:p>
      <w:pPr>
        <w:pStyle w:val="ListBullet"/>
        <w:spacing w:after="80" w:line="264" w:lineRule="auto"/>
      </w:pPr>
      <w:r>
        <w:rPr>
          <w:rFonts w:ascii="Calibri" w:hAnsi="Calibri"/>
          <w:sz w:val="21"/>
        </w:rPr>
        <w:t>Duplicate mbId should ideally be 409 Conflict, but the test accepts 400 or 409 because the contract leaves this open.</w:t>
      </w:r>
    </w:p>
    <w:p>
      <w:pPr>
        <w:pStyle w:val="ListBullet"/>
        <w:spacing w:after="80" w:line="264" w:lineRule="auto"/>
      </w:pPr>
      <w:r>
        <w:rPr>
          <w:rFonts w:ascii="Calibri" w:hAnsi="Calibri"/>
          <w:sz w:val="21"/>
        </w:rPr>
        <w:t>The empty-list criterion requires a seeded or mock environment with zero media buyers.</w:t>
      </w:r>
    </w:p>
    <w:p>
      <w:pPr>
        <w:pStyle w:val="ListBullet"/>
        <w:spacing w:after="80" w:line="264" w:lineRule="auto"/>
      </w:pPr>
      <w:r>
        <w:rPr>
          <w:rFonts w:ascii="Calibri" w:hAnsi="Calibri"/>
          <w:sz w:val="21"/>
        </w:rPr>
        <w:t>initials and slackUserId are optional in requests, but required in successful responses by the supplied schemas.</w:t>
      </w:r>
    </w:p>
    <w:p>
      <w:pPr>
        <w:keepNext/>
        <w:spacing w:before="320" w:after="160"/>
      </w:pPr>
      <w:r>
        <w:rPr>
          <w:rFonts w:ascii="Calibri" w:hAnsi="Calibri"/>
          <w:b/>
          <w:color w:val="2E74B5"/>
          <w:sz w:val="32"/>
        </w:rPr>
        <w:t>Suggested GitHub Submission Steps</w:t>
      </w:r>
    </w:p>
    <w:p>
      <w:pPr>
        <w:pStyle w:val="ListNumber"/>
        <w:spacing w:after="80" w:line="264" w:lineRule="auto"/>
      </w:pPr>
      <w:r>
        <w:rPr>
          <w:rFonts w:ascii="Calibri" w:hAnsi="Calibri"/>
          <w:sz w:val="21"/>
        </w:rPr>
        <w:t>Create a public GitHub repository named media-buyers-api-tests or similar.</w:t>
      </w:r>
    </w:p>
    <w:p>
      <w:pPr>
        <w:pStyle w:val="ListNumber"/>
        <w:spacing w:after="80" w:line="264" w:lineRule="auto"/>
      </w:pPr>
      <w:r>
        <w:rPr>
          <w:rFonts w:ascii="Calibri" w:hAnsi="Calibri"/>
          <w:sz w:val="21"/>
        </w:rPr>
        <w:t>Upload the contents of the project ZIP as the repository root.</w:t>
      </w:r>
    </w:p>
    <w:p>
      <w:pPr>
        <w:pStyle w:val="ListNumber"/>
        <w:spacing w:after="80" w:line="264" w:lineRule="auto"/>
      </w:pPr>
      <w:r>
        <w:rPr>
          <w:rFonts w:ascii="Calibri" w:hAnsi="Calibri"/>
          <w:sz w:val="21"/>
        </w:rPr>
        <w:t>Keep README.md visible at the root because it explains the suite design, assumptions, and future CI path.</w:t>
      </w:r>
    </w:p>
    <w:p>
      <w:pPr>
        <w:pStyle w:val="ListNumber"/>
        <w:spacing w:after="80" w:line="264" w:lineRule="auto"/>
      </w:pPr>
      <w:r>
        <w:rPr>
          <w:rFonts w:ascii="Calibri" w:hAnsi="Calibri"/>
          <w:sz w:val="21"/>
        </w:rPr>
        <w:t>Attach or link this Word document as the written evaluation deliverable.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874"/>
        <w:sz w:val="18"/>
      </w:rPr>
      <w:t>Vladan Simic - Test Task 2 API Automation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6874"/>
        <w:sz w:val="18"/>
      </w:rPr>
      <w:t>QA Recruitment API Test | Media Buyers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