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GHANA RENTAL MARKET</w:t>
      </w: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TAXATION SYSTEM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32"/>
          <w:szCs w:val="32"/>
        </w:rPr>
        <w:t xml:space="preserve">Functional Specification Document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January 2025</w:t>
      </w:r>
    </w:p>
    <w:p>
      <w:pPr>
        <w:spacing w:before="1500"/>
      </w:pPr>
    </w:p>
    <w:p>
      <w:pPr>
        <w:jc w:val="center"/>
      </w:pPr>
      <w:r>
        <w:rPr>
          <w:b/>
          <w:bCs/>
          <w:color w:val="CC0000"/>
          <w:sz w:val="28"/>
          <w:szCs w:val="28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Problem Statement</w:t>
      </w:r>
    </w:p>
    <w:p>
      <w:r>
        <w:t xml:space="preserve">In Ghana, approximately 90% of the population lives in rental premises. The rental market faces significant challenges:</w:t>
      </w:r>
    </w:p>
    <w:p>
      <w:pPr>
        <w:pStyle w:val="ListParagraph"/>
        <w:numPr>
          <w:ilvl w:val="0"/>
          <w:numId w:val="2"/>
        </w:numPr>
      </w:pPr>
      <w:r>
        <w:t xml:space="preserve">Landlords commonly require tenants to prepay rent for up to two years in advance</w:t>
      </w:r>
    </w:p>
    <w:p>
      <w:pPr>
        <w:pStyle w:val="ListParagraph"/>
        <w:numPr>
          <w:ilvl w:val="0"/>
          <w:numId w:val="2"/>
        </w:numPr>
      </w:pPr>
      <w:r>
        <w:t xml:space="preserve">The rental market remains largely unregulated, leading to widespread tax evasion</w:t>
      </w:r>
    </w:p>
    <w:p>
      <w:pPr>
        <w:pStyle w:val="ListParagraph"/>
        <w:numPr>
          <w:ilvl w:val="0"/>
          <w:numId w:val="2"/>
        </w:numPr>
      </w:pPr>
      <w:r>
        <w:t xml:space="preserve">Lack of transparency in rental pricing leads to exploitation</w:t>
      </w:r>
    </w:p>
    <w:p>
      <w:pPr>
        <w:pStyle w:val="ListParagraph"/>
        <w:numPr>
          <w:ilvl w:val="0"/>
          <w:numId w:val="2"/>
        </w:numPr>
      </w:pPr>
      <w:r>
        <w:t xml:space="preserve">No centralized system for contract registration or dispute resolution</w:t>
      </w:r>
    </w:p>
    <w:p>
      <w:pPr>
        <w:pStyle w:val="Heading2"/>
      </w:pPr>
      <w:r>
        <w:t xml:space="preserve">1.2 Proposed Solution</w:t>
      </w:r>
    </w:p>
    <w:p>
      <w:r>
        <w:t xml:space="preserve">A centralized digital platform for mandatory rental contract registration with the following key features:</w:t>
      </w:r>
    </w:p>
    <w:p>
      <w:pPr>
        <w:pStyle w:val="ListParagraph"/>
        <w:numPr>
          <w:ilvl w:val="0"/>
          <w:numId w:val="2"/>
        </w:numPr>
      </w:pPr>
      <w:r>
        <w:t xml:space="preserve">Mandatory digital contract registration (unregistered contracts legally invalid)</w:t>
      </w:r>
    </w:p>
    <w:p>
      <w:pPr>
        <w:pStyle w:val="ListParagraph"/>
        <w:numPr>
          <w:ilvl w:val="0"/>
          <w:numId w:val="2"/>
        </w:numPr>
      </w:pPr>
      <w:r>
        <w:t xml:space="preserve">Automatic tax withholding on rent payments (8% for registered, 15% for unregistered)</w:t>
      </w:r>
    </w:p>
    <w:p>
      <w:pPr>
        <w:pStyle w:val="ListParagraph"/>
        <w:numPr>
          <w:ilvl w:val="0"/>
          <w:numId w:val="2"/>
        </w:numPr>
      </w:pPr>
      <w:r>
        <w:t xml:space="preserve">Advance payment limits (6 months residential, 12-24 months commercial)</w:t>
      </w:r>
    </w:p>
    <w:p>
      <w:pPr>
        <w:pStyle w:val="ListParagraph"/>
        <w:numPr>
          <w:ilvl w:val="0"/>
          <w:numId w:val="2"/>
        </w:numPr>
      </w:pPr>
      <w:r>
        <w:t xml:space="preserve">Real-time monitoring, enforcement, and compliance tracking</w:t>
      </w:r>
    </w:p>
    <w:p>
      <w:pPr>
        <w:pStyle w:val="ListParagraph"/>
        <w:numPr>
          <w:ilvl w:val="0"/>
          <w:numId w:val="2"/>
        </w:numPr>
      </w:pPr>
      <w:r>
        <w:t xml:space="preserve">Market transparency through public rent data</w:t>
      </w:r>
    </w:p>
    <w:p>
      <w:pPr>
        <w:pStyle w:val="Heading2"/>
      </w:pPr>
      <w:r>
        <w:t xml:space="preserve">1.3 Key Benefits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Benefits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Government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Increased tax revenue, market oversight, data-driven policy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Landlords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Legal protection, automated tax compliance, tenant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Fair pricing transparency, dispute resolution, payment receipts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Economy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Formalized rental market, reduced exploitation, housing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User Roles and Permissions</w:t>
      </w:r>
    </w:p>
    <w:p>
      <w:pPr>
        <w:pStyle w:val="Heading2"/>
      </w:pPr>
      <w:r>
        <w:t xml:space="preserve">2.1 Role Definitions</w:t>
      </w:r>
    </w:p>
    <w:p>
      <w:r>
        <w:t xml:space="preserve">The system supports 12 distinct user roles with specific permissions: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Individual Landlord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owner (natural person)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 property, create contracts, receive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Corporate Landlord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management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landlord permissions + bulk operations, API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Individual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Renter (natural person)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Confirm contracts, make payments, file disputes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Corporate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 renting 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tenant permissions + manage sub-users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Ghana Revenue Authority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View all data, tax reports, issue penalties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District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 tax authority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View district data, assign inspectors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Field enforcement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Conduct inspections, upload evidence, submit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Law enforcement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View cases, enforcement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Technical 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system access,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Call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Support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assistance, basic lookups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Ministry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Policy oversight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Reports, analytics, no operational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Anonymized data export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Registration Requirements</w:t>
      </w:r>
    </w:p>
    <w:p>
      <w:pPr>
        <w:pStyle w:val="Heading2"/>
      </w:pPr>
      <w:r>
        <w:t xml:space="preserve">3.1 Landlord Registration</w:t>
      </w:r>
    </w:p>
    <w:p>
      <w:r>
        <w:t xml:space="preserve">Individual landlords must provide:</w:t>
      </w:r>
    </w:p>
    <w:p>
      <w:pPr>
        <w:pStyle w:val="ListParagraph"/>
        <w:numPr>
          <w:ilvl w:val="0"/>
          <w:numId w:val="2"/>
        </w:numPr>
      </w:pPr>
      <w:r>
        <w:t xml:space="preserve">Ghana Card number (mandatory - verified with NIA)</w:t>
      </w:r>
    </w:p>
    <w:p>
      <w:pPr>
        <w:pStyle w:val="ListParagraph"/>
        <w:numPr>
          <w:ilvl w:val="0"/>
          <w:numId w:val="2"/>
        </w:numPr>
      </w:pPr>
      <w:r>
        <w:t xml:space="preserve">Tax Identification Number (TIN)</w:t>
      </w:r>
    </w:p>
    <w:p>
      <w:pPr>
        <w:pStyle w:val="ListParagraph"/>
        <w:numPr>
          <w:ilvl w:val="0"/>
          <w:numId w:val="2"/>
        </w:numPr>
      </w:pPr>
      <w:r>
        <w:t xml:space="preserve">Ghana Post Digital Address</w:t>
      </w:r>
    </w:p>
    <w:p>
      <w:pPr>
        <w:pStyle w:val="ListParagraph"/>
        <w:numPr>
          <w:ilvl w:val="0"/>
          <w:numId w:val="2"/>
        </w:numPr>
      </w:pPr>
      <w:r>
        <w:t xml:space="preserve">Phone number (for OTP verification)</w:t>
      </w:r>
    </w:p>
    <w:p>
      <w:pPr>
        <w:pStyle w:val="ListParagraph"/>
        <w:numPr>
          <w:ilvl w:val="0"/>
          <w:numId w:val="2"/>
        </w:numPr>
      </w:pPr>
      <w:r>
        <w:t xml:space="preserve">Email address</w:t>
      </w:r>
    </w:p>
    <w:p>
      <w:pPr>
        <w:pStyle w:val="ListParagraph"/>
        <w:numPr>
          <w:ilvl w:val="0"/>
          <w:numId w:val="2"/>
        </w:numPr>
      </w:pPr>
      <w:r>
        <w:t xml:space="preserve">Property ownership proof</w:t>
      </w:r>
    </w:p>
    <w:p>
      <w:pPr>
        <w:spacing w:before="200"/>
      </w:pPr>
      <w:r>
        <w:t xml:space="preserve">Corporate landlords additionally require:</w:t>
      </w:r>
    </w:p>
    <w:p>
      <w:pPr>
        <w:pStyle w:val="ListParagraph"/>
        <w:numPr>
          <w:ilvl w:val="0"/>
          <w:numId w:val="2"/>
        </w:numPr>
      </w:pPr>
      <w:r>
        <w:t xml:space="preserve">Company Registration Certificate</w:t>
      </w:r>
    </w:p>
    <w:p>
      <w:pPr>
        <w:pStyle w:val="ListParagraph"/>
        <w:numPr>
          <w:ilvl w:val="0"/>
          <w:numId w:val="2"/>
        </w:numPr>
      </w:pPr>
      <w:r>
        <w:t xml:space="preserve">Corporate TIN</w:t>
      </w:r>
    </w:p>
    <w:p>
      <w:pPr>
        <w:pStyle w:val="ListParagraph"/>
        <w:numPr>
          <w:ilvl w:val="0"/>
          <w:numId w:val="2"/>
        </w:numPr>
      </w:pPr>
      <w:r>
        <w:t xml:space="preserve">Authorized representative details</w:t>
      </w:r>
    </w:p>
    <w:p>
      <w:pPr>
        <w:pStyle w:val="Heading2"/>
      </w:pPr>
      <w:r>
        <w:t xml:space="preserve">3.2 Property Registration</w:t>
      </w:r>
    </w:p>
    <w:p>
      <w:r>
        <w:t xml:space="preserve">Properties are identified using: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[REGION]-[DISTRICT]-[DIGITAL_ADDRESS]-[UNIT]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GAR-AMA-GA-123-4567-01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Digital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Ghana Post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GA-123-4567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GPS Coordinates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Latitude, Longitude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5.5600, -0.2050</w:t>
            </w:r>
          </w:p>
        </w:tc>
      </w:tr>
    </w:tbl>
    <w:p>
      <w:pPr>
        <w:pStyle w:val="Heading3"/>
        <w:spacing w:before="200"/>
      </w:pPr>
      <w:r>
        <w:t xml:space="preserve">3.2.1 Property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Max Advance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R-SR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Self-Contained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1-Bedroom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2-Bedroom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3-Bedroom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R-4B+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4+ Bedroom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R-VL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Villa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C-SHP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C-OFF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C-WHS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Warehouse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24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C-IND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Industrial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24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C-MXD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Mixed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Contract Management</w:t>
      </w:r>
    </w:p>
    <w:p>
      <w:pPr>
        <w:pStyle w:val="Heading2"/>
      </w:pPr>
      <w:r>
        <w:t xml:space="preserve">4.1 Contract Creation Flow</w:t>
      </w:r>
    </w:p>
    <w:p>
      <w:pPr>
        <w:pStyle w:val="ListParagraph"/>
        <w:numPr>
          <w:ilvl w:val="0"/>
          <w:numId w:val="3"/>
        </w:numPr>
      </w:pPr>
      <w:r>
        <w:t xml:space="preserve">Landlord selects property and enters tenant details</w:t>
      </w:r>
    </w:p>
    <w:p>
      <w:pPr>
        <w:pStyle w:val="ListParagraph"/>
        <w:numPr>
          <w:ilvl w:val="0"/>
          <w:numId w:val="3"/>
        </w:numPr>
      </w:pPr>
      <w:r>
        <w:t xml:space="preserve">Landlord sets contract terms (rent, duration, advance payment)</w:t>
      </w:r>
    </w:p>
    <w:p>
      <w:pPr>
        <w:pStyle w:val="ListParagraph"/>
        <w:numPr>
          <w:ilvl w:val="0"/>
          <w:numId w:val="3"/>
        </w:numPr>
      </w:pPr>
      <w:r>
        <w:t xml:space="preserve">System validates compliance with limits</w:t>
      </w:r>
    </w:p>
    <w:p>
      <w:pPr>
        <w:pStyle w:val="ListParagraph"/>
        <w:numPr>
          <w:ilvl w:val="0"/>
          <w:numId w:val="3"/>
        </w:numPr>
      </w:pPr>
      <w:r>
        <w:t xml:space="preserve">Landlord uploads signed contract document</w:t>
      </w:r>
    </w:p>
    <w:p>
      <w:pPr>
        <w:pStyle w:val="ListParagraph"/>
        <w:numPr>
          <w:ilvl w:val="0"/>
          <w:numId w:val="3"/>
        </w:numPr>
      </w:pPr>
      <w:r>
        <w:t xml:space="preserve">System generates confirmation code</w:t>
      </w:r>
    </w:p>
    <w:p>
      <w:pPr>
        <w:pStyle w:val="ListParagraph"/>
        <w:numPr>
          <w:ilvl w:val="0"/>
          <w:numId w:val="3"/>
        </w:numPr>
      </w:pPr>
      <w:r>
        <w:t xml:space="preserve">Tenant receives SMS notification</w:t>
      </w:r>
    </w:p>
    <w:p>
      <w:pPr>
        <w:pStyle w:val="ListParagraph"/>
        <w:numPr>
          <w:ilvl w:val="0"/>
          <w:numId w:val="3"/>
        </w:numPr>
      </w:pPr>
      <w:r>
        <w:t xml:space="preserve">Tenant logs in and reviews contract</w:t>
      </w:r>
    </w:p>
    <w:p>
      <w:pPr>
        <w:pStyle w:val="ListParagraph"/>
        <w:numPr>
          <w:ilvl w:val="0"/>
          <w:numId w:val="3"/>
        </w:numPr>
      </w:pPr>
      <w:r>
        <w:t xml:space="preserve">Tenant confirms (contract becomes ACTIVE) or objects (creates dispute)</w:t>
      </w:r>
    </w:p>
    <w:p>
      <w:pPr>
        <w:pStyle w:val="Heading2"/>
      </w:pPr>
      <w:r>
        <w:t xml:space="preserve">4.2 Contract Status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Next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being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Submit for tenant confirmation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PENDING_CONFIRMATION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Awaiting tenant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Confirm or object (7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confirmed and 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Payments, renewals, termination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end date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Renew or 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Ended before expiry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Final settlement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Under dispute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Mediation, resolution</w:t>
            </w:r>
          </w:p>
        </w:tc>
      </w:tr>
    </w:tbl>
    <w:p>
      <w:pPr>
        <w:pStyle w:val="Heading2"/>
      </w:pPr>
      <w:r>
        <w:t xml:space="preserve">4.3 Contract Rules</w:t>
      </w:r>
    </w:p>
    <w:p>
      <w:r>
        <w:rPr>
          <w:b/>
          <w:bCs/>
        </w:rPr>
        <w:t xml:space="preserve">Advance Payment Limits:</w:t>
      </w:r>
    </w:p>
    <w:p>
      <w:pPr>
        <w:pStyle w:val="ListParagraph"/>
        <w:numPr>
          <w:ilvl w:val="0"/>
          <w:numId w:val="2"/>
        </w:numPr>
      </w:pPr>
      <w:r>
        <w:t xml:space="preserve">Residential: Maximum 6 months advance</w:t>
      </w:r>
    </w:p>
    <w:p>
      <w:pPr>
        <w:pStyle w:val="ListParagraph"/>
        <w:numPr>
          <w:ilvl w:val="0"/>
          <w:numId w:val="2"/>
        </w:numPr>
      </w:pPr>
      <w:r>
        <w:t xml:space="preserve">Commercial (Shop/Office): Maximum 12 months advance</w:t>
      </w:r>
    </w:p>
    <w:p>
      <w:pPr>
        <w:pStyle w:val="ListParagraph"/>
        <w:numPr>
          <w:ilvl w:val="0"/>
          <w:numId w:val="2"/>
        </w:numPr>
      </w:pPr>
      <w:r>
        <w:t xml:space="preserve">Commercial (Warehouse/Industrial): Maximum 24 months advance</w:t>
      </w:r>
    </w:p>
    <w:p>
      <w:pPr>
        <w:spacing w:before="150"/>
      </w:pPr>
      <w:r>
        <w:rPr>
          <w:b/>
          <w:bCs/>
        </w:rPr>
        <w:t xml:space="preserve">Security Deposit: </w:t>
      </w:r>
      <w:r>
        <w:t xml:space="preserve">Maximum 3 months rent</w:t>
      </w:r>
    </w:p>
    <w:p>
      <w:r>
        <w:rPr>
          <w:b/>
          <w:bCs/>
        </w:rPr>
        <w:t xml:space="preserve">Confirmation Period: </w:t>
      </w:r>
      <w:r>
        <w:t xml:space="preserve">7 days from notification</w:t>
      </w:r>
    </w:p>
    <w:p>
      <w:r>
        <w:br w:type="page"/>
      </w:r>
    </w:p>
    <w:p>
      <w:pPr>
        <w:pStyle w:val="Heading1"/>
      </w:pPr>
      <w:r>
        <w:t xml:space="preserve">5. Payment Processing</w:t>
      </w:r>
    </w:p>
    <w:p>
      <w:pPr>
        <w:pStyle w:val="Heading2"/>
      </w:pPr>
      <w:r>
        <w:t xml:space="preserve">5.1 Payment Flow</w:t>
      </w:r>
    </w:p>
    <w:p>
      <w:r>
        <w:t xml:space="preserve">All rent payments are processed through the system with automatic tax withholding:</w:t>
      </w:r>
    </w:p>
    <w:p>
      <w:pPr>
        <w:spacing w:before="150"/>
      </w:pPr>
      <w:r>
        <w:rPr>
          <w:i/>
          <w:iCs/>
        </w:rPr>
        <w:t xml:space="preserve">Tenant pays GHS 1,000 rent: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Amount (GHS)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Gross 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Withheld (8%)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 x 0.08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Platform Fee (1%)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 x 0.01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 to Landlord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1,000 - 80 - 10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910.00</w:t>
            </w:r>
          </w:p>
        </w:tc>
      </w:tr>
    </w:tbl>
    <w:p>
      <w:pPr>
        <w:pStyle w:val="Heading2"/>
      </w:pPr>
      <w:r>
        <w:t xml:space="preserve">5.2 Tax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Landlord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Tax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Registered 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Has TIN, 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Unregistered 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Corporate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Company registration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Social Housing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Government-approved schemes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Rent below GHS 500/month</w:t>
            </w:r>
          </w:p>
        </w:tc>
      </w:tr>
    </w:tbl>
    <w:p>
      <w:pPr>
        <w:pStyle w:val="Heading2"/>
      </w:pPr>
      <w:r>
        <w:t xml:space="preserve">5.3 Payment Methods</w:t>
      </w:r>
    </w:p>
    <w:p>
      <w:pPr>
        <w:pStyle w:val="ListParagraph"/>
        <w:numPr>
          <w:ilvl w:val="0"/>
          <w:numId w:val="2"/>
        </w:numPr>
      </w:pPr>
      <w:r>
        <w:t xml:space="preserve">MTN Mobile Money</w:t>
      </w:r>
    </w:p>
    <w:p>
      <w:pPr>
        <w:pStyle w:val="ListParagraph"/>
        <w:numPr>
          <w:ilvl w:val="0"/>
          <w:numId w:val="2"/>
        </w:numPr>
      </w:pPr>
      <w:r>
        <w:t xml:space="preserve">Vodafone Cash</w:t>
      </w:r>
    </w:p>
    <w:p>
      <w:pPr>
        <w:pStyle w:val="ListParagraph"/>
        <w:numPr>
          <w:ilvl w:val="0"/>
          <w:numId w:val="2"/>
        </w:numPr>
      </w:pPr>
      <w:r>
        <w:t xml:space="preserve">AirtelTigo Money</w:t>
      </w:r>
    </w:p>
    <w:p>
      <w:pPr>
        <w:pStyle w:val="ListParagraph"/>
        <w:numPr>
          <w:ilvl w:val="0"/>
          <w:numId w:val="2"/>
        </w:numPr>
      </w:pPr>
      <w:r>
        <w:t xml:space="preserve">Bank Transfer (GhIPSS)</w:t>
      </w:r>
    </w:p>
    <w:p>
      <w:pPr>
        <w:pStyle w:val="ListParagraph"/>
        <w:numPr>
          <w:ilvl w:val="0"/>
          <w:numId w:val="2"/>
        </w:numPr>
      </w:pPr>
      <w:r>
        <w:t xml:space="preserve">Debit/Credit Card</w:t>
      </w:r>
    </w:p>
    <w:p>
      <w:r>
        <w:br w:type="page"/>
      </w:r>
    </w:p>
    <w:p>
      <w:pPr>
        <w:pStyle w:val="Heading1"/>
      </w:pPr>
      <w:r>
        <w:t xml:space="preserve">6. Enforcement and Compliance</w:t>
      </w:r>
    </w:p>
    <w:p>
      <w:pPr>
        <w:pStyle w:val="Heading2"/>
      </w:pPr>
      <w:r>
        <w:t xml:space="preserve">6.1 Risk Scoring Algorithm</w:t>
      </w:r>
    </w:p>
    <w:p>
      <w:r>
        <w:t xml:space="preserve">Properties are automatically scored for compliance risk (0-100):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Detection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registered, no contracts (&gt;6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GSM presence without 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Telecom data cross-reference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 usage anomaly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ECG/Water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Cash payment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Anonymous tips, tenant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Landlord violation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Historical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irregularities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Pattern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Anonymous tips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Whistleblower reports</w:t>
            </w:r>
          </w:p>
        </w:tc>
      </w:tr>
    </w:tbl>
    <w:p>
      <w:pPr>
        <w:pStyle w:val="Heading2"/>
      </w:pPr>
      <w:r>
        <w:t xml:space="preserve">6.2 Risk Thresholds and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Normal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31-60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Enhanced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Increased monitoring 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61-80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 within 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81-100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Investigation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Investigation within 7 days</w:t>
            </w:r>
          </w:p>
        </w:tc>
      </w:tr>
    </w:tbl>
    <w:p>
      <w:pPr>
        <w:pStyle w:val="Heading2"/>
      </w:pPr>
      <w:r>
        <w:t xml:space="preserve">6.3 Penalty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First Offense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Second Offense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Third Offense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Unregistered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annual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200% annual 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300% annual rent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Excess Advance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50% of excess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of excess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200% of excess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False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GHS 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GHS 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Prosecution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Cash Payment Evasion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 of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200% of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License revocation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Missing QR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GHS 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GHS 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 closure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System Integrations</w:t>
      </w:r>
    </w:p>
    <w:p>
      <w:r>
        <w:t xml:space="preserve">The system integrates with multiple external systems for verification and data exchange: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NIA (Ghana Card)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Identity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TIN verification, tax remittance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Lands 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ownership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Registrar 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Company registration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Ghana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Digital address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MTN Mobile 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Vodafone Cash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AirtelTigo 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GhIPSS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Bank transfers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ECG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Electricity usage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Ghana Water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Water usage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Telecom GSM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Residence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Quarterly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Notifications and Communications</w:t>
      </w:r>
    </w:p>
    <w:p>
      <w:pPr>
        <w:pStyle w:val="Heading2"/>
      </w:pPr>
      <w:r>
        <w:t xml:space="preserve">8.1 Notification Channels</w:t>
      </w:r>
    </w:p>
    <w:p>
      <w:pPr>
        <w:pStyle w:val="ListParagraph"/>
        <w:numPr>
          <w:ilvl w:val="0"/>
          <w:numId w:val="2"/>
        </w:numPr>
      </w:pPr>
      <w:r>
        <w:t xml:space="preserve">SMS (mandatory primary channel)</w:t>
      </w:r>
    </w:p>
    <w:p>
      <w:pPr>
        <w:pStyle w:val="ListParagraph"/>
        <w:numPr>
          <w:ilvl w:val="0"/>
          <w:numId w:val="2"/>
        </w:numPr>
      </w:pPr>
      <w:r>
        <w:t xml:space="preserve">USSD (alternative for basic phones)</w:t>
      </w:r>
    </w:p>
    <w:p>
      <w:pPr>
        <w:pStyle w:val="ListParagraph"/>
        <w:numPr>
          <w:ilvl w:val="0"/>
          <w:numId w:val="2"/>
        </w:numPr>
      </w:pPr>
      <w:r>
        <w:t xml:space="preserve">Push notifications (mobile app)</w:t>
      </w:r>
    </w:p>
    <w:p>
      <w:pPr>
        <w:pStyle w:val="ListParagraph"/>
        <w:numPr>
          <w:ilvl w:val="0"/>
          <w:numId w:val="2"/>
        </w:numPr>
      </w:pPr>
      <w:r>
        <w:t xml:space="preserve">Email</w:t>
      </w:r>
    </w:p>
    <w:p>
      <w:pPr>
        <w:pStyle w:val="ListParagraph"/>
        <w:numPr>
          <w:ilvl w:val="0"/>
          <w:numId w:val="2"/>
        </w:numPr>
      </w:pPr>
      <w:r>
        <w:t xml:space="preserve">In-app notifications</w:t>
      </w:r>
    </w:p>
    <w:p>
      <w:pPr>
        <w:pStyle w:val="ListParagraph"/>
        <w:numPr>
          <w:ilvl w:val="0"/>
          <w:numId w:val="2"/>
        </w:numPr>
      </w:pPr>
      <w:r>
        <w:t xml:space="preserve">IVR (critical cases)</w:t>
      </w:r>
    </w:p>
    <w:p>
      <w:pPr>
        <w:pStyle w:val="Heading2"/>
      </w:pPr>
      <w:r>
        <w:t xml:space="preserve">8.2 Supported Languages</w:t>
      </w:r>
    </w:p>
    <w:p>
      <w:r>
        <w:t xml:space="preserve">Full support: English, Twi, Ga, Ewe, Hausa, Dagbani</w:t>
      </w:r>
    </w:p>
    <w:p>
      <w:r>
        <w:t xml:space="preserve">USSD/Call center only: Fante, Nzema, Dagaare</w:t>
      </w:r>
    </w:p>
    <w:p>
      <w:pPr>
        <w:pStyle w:val="Heading2"/>
      </w:pPr>
      <w:r>
        <w:t xml:space="preserve">8.3 Key Notification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Recipients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Landlord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Both parties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due 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30, 14, 7, 1 days before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 expiry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Both parties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90, 60, 30, 14, 7, 1 days before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certificate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Landlord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Monthly, on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Inspection scheduled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Both parties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7, 1 days before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Penalty issued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Landlord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Immediate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Market Rent Checker</w:t>
      </w:r>
    </w:p>
    <w:p>
      <w:r>
        <w:t xml:space="preserve">The system provides transparent market rent data to help users understand fair pricing:</w:t>
      </w:r>
    </w:p>
    <w:p>
      <w:pPr>
        <w:pStyle w:val="Heading2"/>
      </w:pPr>
      <w:r>
        <w:t xml:space="preserve">9.1 Data Sources</w:t>
      </w:r>
    </w:p>
    <w:p>
      <w:pPr>
        <w:pStyle w:val="ListParagraph"/>
        <w:numPr>
          <w:ilvl w:val="0"/>
          <w:numId w:val="2"/>
        </w:numPr>
      </w:pPr>
      <w:r>
        <w:t xml:space="preserve">All registered contracts (anonymized)</w:t>
      </w:r>
    </w:p>
    <w:p>
      <w:pPr>
        <w:pStyle w:val="ListParagraph"/>
        <w:numPr>
          <w:ilvl w:val="0"/>
          <w:numId w:val="2"/>
        </w:numPr>
      </w:pPr>
      <w:r>
        <w:t xml:space="preserve">Recency weighting: Last 3 months (100%), 3-6 months (80%), 6-12 months (50%)</w:t>
      </w:r>
    </w:p>
    <w:p>
      <w:pPr>
        <w:pStyle w:val="ListParagraph"/>
        <w:numPr>
          <w:ilvl w:val="0"/>
          <w:numId w:val="2"/>
        </w:numPr>
      </w:pPr>
      <w:r>
        <w:t xml:space="preserve">Outliers excluded (top/bottom 5%)</w:t>
      </w:r>
    </w:p>
    <w:p>
      <w:pPr>
        <w:pStyle w:val="Heading2"/>
      </w:pPr>
      <w:r>
        <w:t xml:space="preserve">9.2 Query Parameters</w:t>
      </w:r>
    </w:p>
    <w:p>
      <w:pPr>
        <w:pStyle w:val="ListParagraph"/>
        <w:numPr>
          <w:ilvl w:val="0"/>
          <w:numId w:val="2"/>
        </w:numPr>
      </w:pPr>
      <w:r>
        <w:t xml:space="preserve">Region (required)</w:t>
      </w:r>
    </w:p>
    <w:p>
      <w:pPr>
        <w:pStyle w:val="ListParagraph"/>
        <w:numPr>
          <w:ilvl w:val="0"/>
          <w:numId w:val="2"/>
        </w:numPr>
      </w:pPr>
      <w:r>
        <w:t xml:space="preserve">District (required)</w:t>
      </w:r>
    </w:p>
    <w:p>
      <w:pPr>
        <w:pStyle w:val="ListParagraph"/>
        <w:numPr>
          <w:ilvl w:val="0"/>
          <w:numId w:val="2"/>
        </w:numPr>
      </w:pPr>
      <w:r>
        <w:t xml:space="preserve">Neighborhood (optional)</w:t>
      </w:r>
    </w:p>
    <w:p>
      <w:pPr>
        <w:pStyle w:val="ListParagraph"/>
        <w:numPr>
          <w:ilvl w:val="0"/>
          <w:numId w:val="2"/>
        </w:numPr>
      </w:pPr>
      <w:r>
        <w:t xml:space="preserve">Property type (required)</w:t>
      </w:r>
    </w:p>
    <w:p>
      <w:pPr>
        <w:pStyle w:val="ListParagraph"/>
        <w:numPr>
          <w:ilvl w:val="0"/>
          <w:numId w:val="2"/>
        </w:numPr>
      </w:pPr>
      <w:r>
        <w:t xml:space="preserve">Number of bedrooms (residential)</w:t>
      </w:r>
    </w:p>
    <w:p>
      <w:pPr>
        <w:pStyle w:val="Heading2"/>
      </w:pPr>
      <w:r>
        <w:t xml:space="preserve">9.3 Output Data</w:t>
      </w:r>
    </w:p>
    <w:p>
      <w:pPr>
        <w:pStyle w:val="ListParagraph"/>
        <w:numPr>
          <w:ilvl w:val="0"/>
          <w:numId w:val="2"/>
        </w:numPr>
      </w:pPr>
      <w:r>
        <w:t xml:space="preserve">Average rent</w:t>
      </w:r>
    </w:p>
    <w:p>
      <w:pPr>
        <w:pStyle w:val="ListParagraph"/>
        <w:numPr>
          <w:ilvl w:val="0"/>
          <w:numId w:val="2"/>
        </w:numPr>
      </w:pPr>
      <w:r>
        <w:t xml:space="preserve">Median rent</w:t>
      </w:r>
    </w:p>
    <w:p>
      <w:pPr>
        <w:pStyle w:val="ListParagraph"/>
        <w:numPr>
          <w:ilvl w:val="0"/>
          <w:numId w:val="2"/>
        </w:numPr>
      </w:pPr>
      <w:r>
        <w:t xml:space="preserve">Range (10th - 90th percentile)</w:t>
      </w:r>
    </w:p>
    <w:p>
      <w:pPr>
        <w:pStyle w:val="ListParagraph"/>
        <w:numPr>
          <w:ilvl w:val="0"/>
          <w:numId w:val="2"/>
        </w:numPr>
      </w:pPr>
      <w:r>
        <w:t xml:space="preserve">Sample size</w:t>
      </w:r>
    </w:p>
    <w:p>
      <w:pPr>
        <w:pStyle w:val="ListParagraph"/>
        <w:numPr>
          <w:ilvl w:val="0"/>
          <w:numId w:val="2"/>
        </w:numPr>
      </w:pPr>
      <w:r>
        <w:t xml:space="preserve">12-month trend</w:t>
      </w:r>
    </w:p>
    <w:p>
      <w:pPr>
        <w:pStyle w:val="ListParagraph"/>
        <w:numPr>
          <w:ilvl w:val="0"/>
          <w:numId w:val="2"/>
        </w:numPr>
      </w:pPr>
      <w:r>
        <w:t xml:space="preserve">Fair price indicator</w:t>
      </w:r>
    </w:p>
    <w:p>
      <w:r>
        <w:br w:type="page"/>
      </w:r>
    </w:p>
    <w:p>
      <w:pPr>
        <w:pStyle w:val="Heading1"/>
      </w:pPr>
      <w:r>
        <w:t xml:space="preserve">10. Dispute Resolution</w:t>
      </w:r>
    </w:p>
    <w:p>
      <w:pPr>
        <w:pStyle w:val="Heading2"/>
      </w:pPr>
      <w:r>
        <w:t xml:space="preserve">10.1 Dispute Types</w:t>
      </w:r>
    </w:p>
    <w:p>
      <w:pPr>
        <w:pStyle w:val="ListParagraph"/>
        <w:numPr>
          <w:ilvl w:val="0"/>
          <w:numId w:val="2"/>
        </w:numPr>
      </w:pPr>
      <w:r>
        <w:t xml:space="preserve">Contract terms disagreement</w:t>
      </w:r>
    </w:p>
    <w:p>
      <w:pPr>
        <w:pStyle w:val="ListParagraph"/>
        <w:numPr>
          <w:ilvl w:val="0"/>
          <w:numId w:val="2"/>
        </w:numPr>
      </w:pPr>
      <w:r>
        <w:t xml:space="preserve">Payment disputes</w:t>
      </w:r>
    </w:p>
    <w:p>
      <w:pPr>
        <w:pStyle w:val="ListParagraph"/>
        <w:numPr>
          <w:ilvl w:val="0"/>
          <w:numId w:val="2"/>
        </w:numPr>
      </w:pPr>
      <w:r>
        <w:t xml:space="preserve">Habitability issues</w:t>
      </w:r>
    </w:p>
    <w:p>
      <w:pPr>
        <w:pStyle w:val="ListParagraph"/>
        <w:numPr>
          <w:ilvl w:val="0"/>
          <w:numId w:val="2"/>
        </w:numPr>
      </w:pPr>
      <w:r>
        <w:t xml:space="preserve">Illegal eviction</w:t>
      </w:r>
    </w:p>
    <w:p>
      <w:pPr>
        <w:pStyle w:val="ListParagraph"/>
        <w:numPr>
          <w:ilvl w:val="0"/>
          <w:numId w:val="2"/>
        </w:numPr>
      </w:pPr>
      <w:r>
        <w:t xml:space="preserve">Deposit return disputes</w:t>
      </w:r>
    </w:p>
    <w:p>
      <w:pPr>
        <w:pStyle w:val="ListParagraph"/>
        <w:numPr>
          <w:ilvl w:val="0"/>
          <w:numId w:val="2"/>
        </w:numPr>
      </w:pPr>
      <w:r>
        <w:t xml:space="preserve">Excessive rent claims</w:t>
      </w:r>
    </w:p>
    <w:p>
      <w:pPr>
        <w:pStyle w:val="Heading2"/>
      </w:pPr>
      <w:r>
        <w:t xml:space="preserve">10.2 Resolution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 Filing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Day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Complainant files dispute with 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Other party responds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Day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District Rent Officer assigned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Officer reviews and mediates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 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Day 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Binding decision issued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 Appeal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Appeal to Rent Tribunal if dissatisfied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Technical Specifications</w:t>
      </w:r>
    </w:p>
    <w:p>
      <w:pPr>
        <w:pStyle w:val="Heading2"/>
      </w:pPr>
      <w:r>
        <w:t xml:space="preserve">11.1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load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USSD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Concurrent users (Year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100,000</w:t>
            </w:r>
          </w:p>
        </w:tc>
      </w:tr>
    </w:tbl>
    <w:p>
      <w:pPr>
        <w:pStyle w:val="Heading2"/>
      </w:pPr>
      <w:r>
        <w:t xml:space="preserve">11.2 Capacity Targets (Year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Registered landlords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Registered tenants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Daily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</w:t>
            </w:r>
          </w:p>
        </w:tc>
      </w:tr>
    </w:tbl>
    <w:p>
      <w:pPr>
        <w:pStyle w:val="Heading2"/>
      </w:pPr>
      <w:r>
        <w:t xml:space="preserve">11.3 Security Requirements</w:t>
      </w:r>
    </w:p>
    <w:p>
      <w:pPr>
        <w:pStyle w:val="ListParagraph"/>
        <w:numPr>
          <w:ilvl w:val="0"/>
          <w:numId w:val="2"/>
        </w:numPr>
      </w:pPr>
      <w:r>
        <w:t xml:space="preserve">AES-256 encryption at rest</w:t>
      </w:r>
    </w:p>
    <w:p>
      <w:pPr>
        <w:pStyle w:val="ListParagraph"/>
        <w:numPr>
          <w:ilvl w:val="0"/>
          <w:numId w:val="2"/>
        </w:numPr>
      </w:pPr>
      <w:r>
        <w:t xml:space="preserve">TLS 1.3 encryption in transit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Immutable audit logs (7-year retention)</w:t>
      </w:r>
    </w:p>
    <w:p>
      <w:pPr>
        <w:pStyle w:val="ListParagraph"/>
        <w:numPr>
          <w:ilvl w:val="0"/>
          <w:numId w:val="2"/>
        </w:numPr>
      </w:pPr>
      <w:r>
        <w:t xml:space="preserve">Annual independent security audit</w:t>
      </w:r>
    </w:p>
    <w:p>
      <w:pPr>
        <w:pStyle w:val="ListParagraph"/>
        <w:numPr>
          <w:ilvl w:val="0"/>
          <w:numId w:val="2"/>
        </w:numPr>
      </w:pPr>
      <w:r>
        <w:t xml:space="preserve">72-hour breach notification</w:t>
      </w:r>
    </w:p>
    <w:p>
      <w:pPr>
        <w:pStyle w:val="Heading2"/>
      </w:pPr>
      <w:r>
        <w:t xml:space="preserve">11.4 Data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Retention Period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Indefinite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Expired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years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Pilot Program</w:t>
      </w:r>
    </w:p>
    <w:p>
      <w:pPr>
        <w:pStyle w:val="Heading2"/>
      </w:pPr>
      <w:r>
        <w:t xml:space="preserve">12.1 Pilot Districts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Accra Metropolitan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Greater Accra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Highest rental volume, diverse 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Kumasi Metropolitan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Ashanti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Second largest city, different demographics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Tema Metropolitan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Greater Accra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Industrial/port area, commercial mix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Tamale Metropolitan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Northern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Different cultural context, test scalability</w:t>
            </w:r>
          </w:p>
        </w:tc>
      </w:tr>
    </w:tbl>
    <w:p>
      <w:pPr>
        <w:pStyle w:val="Heading2"/>
      </w:pPr>
      <w:r>
        <w:t xml:space="preserve">12.2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Pilot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National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Registration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collection increase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Dispute resolution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21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14 days</w:t>
            </w:r>
          </w:p>
        </w:tc>
      </w:tr>
    </w:tbl>
    <w:p>
      <w:pPr>
        <w:pStyle w:val="Heading2"/>
      </w:pPr>
      <w:r>
        <w:t xml:space="preserve">12.3 Phased Rollout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Awareness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1-3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Public education campaign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Voluntary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4-6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 without penalties (amnesty)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Mandatory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7-12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Warning + 10% penalty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Enforcement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13+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penalties apply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Document Control</w:t>
      </w:r>
    </w:p>
    <w:p>
      <w:pPr>
        <w:pStyle w:val="Heading2"/>
      </w:pPr>
      <w:r>
        <w:t xml:space="preserve">13.1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Requirements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 release with 170 requirements</w:t>
            </w:r>
          </w:p>
        </w:tc>
      </w:tr>
    </w:tbl>
    <w:p>
      <w:pPr>
        <w:pStyle w:val="Heading2"/>
      </w:pPr>
      <w:r>
        <w:t xml:space="preserve">13.2 Approval</w:t>
      </w:r>
    </w:p>
    <w:p>
      <w:pPr>
        <w:spacing w:before="200"/>
      </w:pPr>
      <w:r>
        <w:t xml:space="preserve">This document requires approval from:</w:t>
      </w:r>
    </w:p>
    <w:p>
      <w:pPr>
        <w:pStyle w:val="ListParagraph"/>
        <w:numPr>
          <w:ilvl w:val="0"/>
          <w:numId w:val="2"/>
        </w:numPr>
      </w:pPr>
      <w:r>
        <w:t xml:space="preserve">Ministry of Works and Housing</w:t>
      </w:r>
    </w:p>
    <w:p>
      <w:pPr>
        <w:pStyle w:val="ListParagraph"/>
        <w:numPr>
          <w:ilvl w:val="0"/>
          <w:numId w:val="2"/>
        </w:numPr>
      </w:pPr>
      <w:r>
        <w:t xml:space="preserve">Ghana Revenue Authority</w:t>
      </w:r>
    </w:p>
    <w:p>
      <w:pPr>
        <w:pStyle w:val="ListParagraph"/>
        <w:numPr>
          <w:ilvl w:val="0"/>
          <w:numId w:val="2"/>
        </w:numPr>
      </w:pPr>
      <w:r>
        <w:t xml:space="preserve">Project Steering Committee</w:t>
      </w:r>
    </w:p>
    <w:p>
      <w:pPr>
        <w:pStyle w:val="Heading2"/>
      </w:pPr>
      <w:r>
        <w:t xml:space="preserve">13.3 References</w:t>
      </w:r>
    </w:p>
    <w:p>
      <w:pPr>
        <w:pStyle w:val="ListParagraph"/>
        <w:numPr>
          <w:ilvl w:val="0"/>
          <w:numId w:val="2"/>
        </w:numPr>
      </w:pPr>
      <w:r>
        <w:t xml:space="preserve">Ghana Rent Act, 1963 (Act 220)</w:t>
      </w:r>
    </w:p>
    <w:p>
      <w:pPr>
        <w:pStyle w:val="ListParagraph"/>
        <w:numPr>
          <w:ilvl w:val="0"/>
          <w:numId w:val="2"/>
        </w:numPr>
      </w:pPr>
      <w:r>
        <w:t xml:space="preserve">Ghana Revenue Authority Act, 2009 (Act 791)</w:t>
      </w:r>
    </w:p>
    <w:p>
      <w:pPr>
        <w:pStyle w:val="ListParagraph"/>
        <w:numPr>
          <w:ilvl w:val="0"/>
          <w:numId w:val="2"/>
        </w:numPr>
      </w:pPr>
      <w:r>
        <w:t xml:space="preserve">Data Protection Act, 2012 (Act 843)</w:t>
      </w:r>
    </w:p>
    <w:p>
      <w:pPr>
        <w:pStyle w:val="ListParagraph"/>
        <w:numPr>
          <w:ilvl w:val="0"/>
          <w:numId w:val="2"/>
        </w:numPr>
      </w:pPr>
      <w:r>
        <w:t xml:space="preserve">Electronic Transactions Act, 2008 (Act 772)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Ghana Rental Market Taxation System -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2026-01-29T12:04:44.191Z</dcterms:created>
  <dcterms:modified xsi:type="dcterms:W3CDTF">2026-01-29T12:04:44.192Z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