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rFonts w:ascii="Arial" w:cs="Arial" w:eastAsia="Arial" w:hAnsi="Arial"/>
          <w:b/>
          <w:bCs/>
          <w:color w:val="1F4E79"/>
          <w:sz w:val="48"/>
          <w:szCs w:val="48"/>
        </w:rPr>
        <w:t xml:space="preserve">GHANA RENTAL MARKET TAXATION SYSTEM</w:t>
      </w:r>
    </w:p>
    <w:p>
      <w:pPr>
        <w:spacing w:after="400"/>
      </w:pPr>
    </w:p>
    <w:p>
      <w:pPr>
        <w:jc w:val="center"/>
      </w:pPr>
      <w:r>
        <w:rPr>
          <w:rFonts w:ascii="Arial" w:cs="Arial" w:eastAsia="Arial" w:hAnsi="Arial"/>
          <w:color w:val="2E75B6"/>
          <w:sz w:val="36"/>
          <w:szCs w:val="36"/>
        </w:rPr>
        <w:t xml:space="preserve">Functional Specification Document</w:t>
      </w:r>
    </w:p>
    <w:p>
      <w:pPr>
        <w:spacing w:after="1500"/>
      </w:pPr>
    </w:p>
    <w:p>
      <w:pPr>
        <w:jc w:val="center"/>
      </w:pPr>
      <w:r>
        <w:rPr>
          <w:rFonts w:ascii="Arial" w:cs="Arial" w:eastAsia="Arial" w:hAnsi="Arial"/>
          <w:sz w:val="24"/>
          <w:szCs w:val="24"/>
        </w:rPr>
        <w:t xml:space="preserve">Version 1.0</w:t>
      </w:r>
    </w:p>
    <w:p>
      <w:pPr>
        <w:jc w:val="center"/>
      </w:pPr>
      <w:r>
        <w:rPr>
          <w:rFonts w:ascii="Arial" w:cs="Arial" w:eastAsia="Arial" w:hAnsi="Arial"/>
          <w:sz w:val="24"/>
          <w:szCs w:val="24"/>
        </w:rPr>
        <w:t xml:space="preserve">January 2025</w:t>
      </w:r>
    </w:p>
    <w:p>
      <w:pPr>
        <w:spacing w:after="2000"/>
      </w:pPr>
    </w:p>
    <w:p>
      <w:pPr>
        <w:jc w:val="center"/>
      </w:pPr>
      <w:r>
        <w:rPr>
          <w:rFonts w:ascii="Arial" w:cs="Arial" w:eastAsia="Arial" w:hAnsi="Arial"/>
          <w:b/>
          <w:bCs/>
          <w:sz w:val="24"/>
          <w:szCs w:val="24"/>
        </w:rPr>
        <w:t xml:space="preserve">Prepared for:</w:t>
      </w:r>
    </w:p>
    <w:p>
      <w:pPr>
        <w:jc w:val="center"/>
      </w:pPr>
      <w:r>
        <w:rPr>
          <w:rFonts w:ascii="Arial" w:cs="Arial" w:eastAsia="Arial" w:hAnsi="Arial"/>
          <w:sz w:val="24"/>
          <w:szCs w:val="24"/>
        </w:rPr>
        <w:t xml:space="preserve">Ghana Revenue Authority (GRA)</w:t>
      </w:r>
    </w:p>
    <w:p>
      <w:pPr>
        <w:jc w:val="center"/>
      </w:pPr>
      <w:r>
        <w:rPr>
          <w:rFonts w:ascii="Arial" w:cs="Arial" w:eastAsia="Arial" w:hAnsi="Arial"/>
          <w:sz w:val="24"/>
          <w:szCs w:val="24"/>
        </w:rPr>
        <w:t xml:space="preserve">Ministry of Works and Housing</w:t>
      </w:r>
    </w:p>
    <w:p>
      <w:pPr>
        <w:spacing w:after="1000"/>
      </w:pPr>
    </w:p>
    <w:p>
      <w:pPr>
        <w:pBdr>
          <w:top w:val="single" w:color="CCCCCC" w:sz="1"/>
        </w:pBdr>
        <w:jc w:val="center"/>
      </w:pPr>
      <w:r>
        <w:rPr>
          <w:rFonts w:ascii="Arial" w:cs="Arial" w:eastAsia="Arial" w:hAnsi="Arial"/>
          <w:color w:val="CC0000"/>
          <w:sz w:val="20"/>
          <w:szCs w:val="20"/>
        </w:rPr>
        <w:t xml:space="preserve">CONFIDENTIAL</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200"/>
      </w:pPr>
      <w:r>
        <w:rPr>
          <w:rFonts w:ascii="Arial" w:cs="Arial" w:eastAsia="Arial" w:hAnsi="Arial"/>
          <w:sz w:val="24"/>
          <w:szCs w:val="24"/>
        </w:rPr>
        <w:t xml:space="preserve">This Functional Specification Document defines the requirements for the Ghana Rental Market Taxation System (GRMTS), a centralized digital platform designed to register all rental contracts in Ghana, automate tax withholding, enforce compliance, and provide market transparency.</w:t>
      </w:r>
    </w:p>
    <w:p>
      <w:pPr>
        <w:pStyle w:val="Heading2"/>
      </w:pPr>
      <w:r>
        <w:t xml:space="preserve">1.1 Problem Statement</w:t>
      </w:r>
    </w:p>
    <w:p>
      <w:pPr>
        <w:spacing w:after="200"/>
      </w:pPr>
      <w:r>
        <w:rPr>
          <w:rFonts w:ascii="Arial" w:cs="Arial" w:eastAsia="Arial" w:hAnsi="Arial"/>
          <w:sz w:val="24"/>
          <w:szCs w:val="24"/>
        </w:rPr>
        <w:t xml:space="preserve">In Ghana, approximately 90% of the population lives in rental premises. The current rental market faces several critical challenges:</w:t>
      </w:r>
    </w:p>
    <w:p>
      <w:pPr>
        <w:pStyle w:val="ListParagraph"/>
        <w:numPr>
          <w:ilvl w:val="0"/>
          <w:numId w:val="2"/>
        </w:numPr>
        <w:spacing w:after="100"/>
      </w:pPr>
      <w:r>
        <w:rPr>
          <w:rFonts w:ascii="Arial" w:cs="Arial" w:eastAsia="Arial" w:hAnsi="Arial"/>
          <w:sz w:val="24"/>
          <w:szCs w:val="24"/>
        </w:rPr>
        <w:t xml:space="preserve">Landlords commonly require tenants to prepay rent for up to two years in advance, creating significant financial stress for renters</w:t>
      </w:r>
    </w:p>
    <w:p>
      <w:pPr>
        <w:pStyle w:val="ListParagraph"/>
        <w:numPr>
          <w:ilvl w:val="0"/>
          <w:numId w:val="2"/>
        </w:numPr>
        <w:spacing w:after="100"/>
      </w:pPr>
      <w:r>
        <w:rPr>
          <w:rFonts w:ascii="Arial" w:cs="Arial" w:eastAsia="Arial" w:hAnsi="Arial"/>
          <w:sz w:val="24"/>
          <w:szCs w:val="24"/>
        </w:rPr>
        <w:t xml:space="preserve">The rental market remains largely unregulated, leading to widespread tax evasion estimated at over GHS 500 million annually</w:t>
      </w:r>
    </w:p>
    <w:p>
      <w:pPr>
        <w:pStyle w:val="ListParagraph"/>
        <w:numPr>
          <w:ilvl w:val="0"/>
          <w:numId w:val="2"/>
        </w:numPr>
        <w:spacing w:after="100"/>
      </w:pPr>
      <w:r>
        <w:rPr>
          <w:rFonts w:ascii="Arial" w:cs="Arial" w:eastAsia="Arial" w:hAnsi="Arial"/>
          <w:sz w:val="24"/>
          <w:szCs w:val="24"/>
        </w:rPr>
        <w:t xml:space="preserve">Lack of market data makes it difficult for tenants to assess fair rental prices</w:t>
      </w:r>
    </w:p>
    <w:p>
      <w:pPr>
        <w:pStyle w:val="ListParagraph"/>
        <w:numPr>
          <w:ilvl w:val="0"/>
          <w:numId w:val="2"/>
        </w:numPr>
        <w:spacing w:after="200"/>
      </w:pPr>
      <w:r>
        <w:rPr>
          <w:rFonts w:ascii="Arial" w:cs="Arial" w:eastAsia="Arial" w:hAnsi="Arial"/>
          <w:sz w:val="24"/>
          <w:szCs w:val="24"/>
        </w:rPr>
        <w:t xml:space="preserve">Limited enforcement mechanisms for existing rental regulations</w:t>
      </w:r>
    </w:p>
    <w:p>
      <w:pPr>
        <w:pStyle w:val="Heading2"/>
      </w:pPr>
      <w:r>
        <w:t xml:space="preserve">1.2 Proposed Solution</w:t>
      </w:r>
    </w:p>
    <w:p>
      <w:pPr>
        <w:spacing w:after="200"/>
      </w:pPr>
      <w:r>
        <w:rPr>
          <w:rFonts w:ascii="Arial" w:cs="Arial" w:eastAsia="Arial" w:hAnsi="Arial"/>
          <w:sz w:val="24"/>
          <w:szCs w:val="24"/>
        </w:rPr>
        <w:t xml:space="preserve">The GRMTS addresses these challenges through a comprehensive digital platform that:</w:t>
      </w:r>
    </w:p>
    <w:p>
      <w:pPr>
        <w:pStyle w:val="ListParagraph"/>
        <w:numPr>
          <w:ilvl w:val="0"/>
          <w:numId w:val="3"/>
        </w:numPr>
        <w:spacing w:after="100"/>
      </w:pPr>
      <w:r>
        <w:rPr>
          <w:rFonts w:ascii="Arial" w:cs="Arial" w:eastAsia="Arial" w:hAnsi="Arial"/>
          <w:sz w:val="24"/>
          <w:szCs w:val="24"/>
        </w:rPr>
        <w:t xml:space="preserve">Mandates digital registration of all rental contracts (unregistered contracts become legally invalid)</w:t>
      </w:r>
    </w:p>
    <w:p>
      <w:pPr>
        <w:pStyle w:val="ListParagraph"/>
        <w:numPr>
          <w:ilvl w:val="0"/>
          <w:numId w:val="3"/>
        </w:numPr>
        <w:spacing w:after="100"/>
      </w:pPr>
      <w:r>
        <w:rPr>
          <w:rFonts w:ascii="Arial" w:cs="Arial" w:eastAsia="Arial" w:hAnsi="Arial"/>
          <w:sz w:val="24"/>
          <w:szCs w:val="24"/>
        </w:rPr>
        <w:t xml:space="preserve">Enforces maximum advance payment limits (6 months for residential, 12-24 months for commercial)</w:t>
      </w:r>
    </w:p>
    <w:p>
      <w:pPr>
        <w:pStyle w:val="ListParagraph"/>
        <w:numPr>
          <w:ilvl w:val="0"/>
          <w:numId w:val="3"/>
        </w:numPr>
        <w:spacing w:after="100"/>
      </w:pPr>
      <w:r>
        <w:rPr>
          <w:rFonts w:ascii="Arial" w:cs="Arial" w:eastAsia="Arial" w:hAnsi="Arial"/>
          <w:sz w:val="24"/>
          <w:szCs w:val="24"/>
        </w:rPr>
        <w:t xml:space="preserve">Automatically withholds 8% tax on all rent payments through the platform</w:t>
      </w:r>
    </w:p>
    <w:p>
      <w:pPr>
        <w:pStyle w:val="ListParagraph"/>
        <w:numPr>
          <w:ilvl w:val="0"/>
          <w:numId w:val="3"/>
        </w:numPr>
        <w:spacing w:after="100"/>
      </w:pPr>
      <w:r>
        <w:rPr>
          <w:rFonts w:ascii="Arial" w:cs="Arial" w:eastAsia="Arial" w:hAnsi="Arial"/>
          <w:sz w:val="24"/>
          <w:szCs w:val="24"/>
        </w:rPr>
        <w:t xml:space="preserve">Provides real-time monitoring and automated enforcement capabilities</w:t>
      </w:r>
    </w:p>
    <w:p>
      <w:pPr>
        <w:pStyle w:val="ListParagraph"/>
        <w:numPr>
          <w:ilvl w:val="0"/>
          <w:numId w:val="3"/>
        </w:numPr>
        <w:spacing w:after="200"/>
      </w:pPr>
      <w:r>
        <w:rPr>
          <w:rFonts w:ascii="Arial" w:cs="Arial" w:eastAsia="Arial" w:hAnsi="Arial"/>
          <w:sz w:val="24"/>
          <w:szCs w:val="24"/>
        </w:rPr>
        <w:t xml:space="preserve">Creates market transparency through anonymized rent data for price comparison</w:t>
      </w:r>
    </w:p>
    <w:p>
      <w:pPr>
        <w:pStyle w:val="Heading2"/>
      </w:pPr>
      <w:r>
        <w:t xml:space="preserve">1.3 Key Benefits</w:t>
      </w:r>
    </w:p>
    <w:p>
      <w:pPr>
        <w:spacing w:after="200"/>
      </w:pPr>
      <w:r>
        <w:rPr>
          <w:rFonts w:ascii="Arial" w:cs="Arial" w:eastAsia="Arial" w:hAnsi="Arial"/>
          <w:b/>
          <w:bCs/>
          <w:sz w:val="24"/>
          <w:szCs w:val="24"/>
        </w:rPr>
        <w:t xml:space="preserve">For Government: </w:t>
      </w:r>
      <w:r>
        <w:rPr>
          <w:rFonts w:ascii="Arial" w:cs="Arial" w:eastAsia="Arial" w:hAnsi="Arial"/>
          <w:sz w:val="24"/>
          <w:szCs w:val="24"/>
        </w:rPr>
        <w:t xml:space="preserve">Increased tax revenue through automatic collection, reduced tax evasion, improved market regulation, and real-time economic data.</w:t>
      </w:r>
    </w:p>
    <w:p>
      <w:pPr>
        <w:spacing w:after="200"/>
      </w:pPr>
      <w:r>
        <w:rPr>
          <w:rFonts w:ascii="Arial" w:cs="Arial" w:eastAsia="Arial" w:hAnsi="Arial"/>
          <w:b/>
          <w:bCs/>
          <w:sz w:val="24"/>
          <w:szCs w:val="24"/>
        </w:rPr>
        <w:t xml:space="preserve">For Landlords: </w:t>
      </w:r>
      <w:r>
        <w:rPr>
          <w:rFonts w:ascii="Arial" w:cs="Arial" w:eastAsia="Arial" w:hAnsi="Arial"/>
          <w:sz w:val="24"/>
          <w:szCs w:val="24"/>
        </w:rPr>
        <w:t xml:space="preserve">Streamlined compliance, automatic tax certificates for filing, legal protection for registered contracts, and reduced administrative burden.</w:t>
      </w:r>
    </w:p>
    <w:p>
      <w:pPr>
        <w:spacing w:after="200"/>
      </w:pPr>
      <w:r>
        <w:rPr>
          <w:rFonts w:ascii="Arial" w:cs="Arial" w:eastAsia="Arial" w:hAnsi="Arial"/>
          <w:b/>
          <w:bCs/>
          <w:sz w:val="24"/>
          <w:szCs w:val="24"/>
        </w:rPr>
        <w:t xml:space="preserve">For Tenants: </w:t>
      </w:r>
      <w:r>
        <w:rPr>
          <w:rFonts w:ascii="Arial" w:cs="Arial" w:eastAsia="Arial" w:hAnsi="Arial"/>
          <w:sz w:val="24"/>
          <w:szCs w:val="24"/>
        </w:rPr>
        <w:t xml:space="preserve">Protection from excessive advance payments, access to market price data, formal dispute resolution mechanism, and verified rental history.</w:t>
      </w:r>
    </w:p>
    <w:p>
      <w:r>
        <w:br w:type="page"/>
      </w:r>
    </w:p>
    <w:p>
      <w:pPr>
        <w:pStyle w:val="Heading1"/>
      </w:pPr>
      <w:r>
        <w:t xml:space="preserve">2. Scope and Objectives</w:t>
      </w:r>
    </w:p>
    <w:p>
      <w:pPr>
        <w:pStyle w:val="Heading2"/>
      </w:pPr>
      <w:r>
        <w:t xml:space="preserve">2.1 In Scope</w:t>
      </w:r>
    </w:p>
    <w:p>
      <w:pPr>
        <w:pStyle w:val="ListParagraph"/>
        <w:numPr>
          <w:ilvl w:val="0"/>
          <w:numId w:val="2"/>
        </w:numPr>
        <w:spacing w:after="100"/>
      </w:pPr>
      <w:r>
        <w:rPr>
          <w:rFonts w:ascii="Arial" w:cs="Arial" w:eastAsia="Arial" w:hAnsi="Arial"/>
          <w:sz w:val="24"/>
          <w:szCs w:val="24"/>
        </w:rPr>
        <w:t xml:space="preserve">User registration and identity verification (integration with NIA Ghana Card)</w:t>
      </w:r>
    </w:p>
    <w:p>
      <w:pPr>
        <w:pStyle w:val="ListParagraph"/>
        <w:numPr>
          <w:ilvl w:val="0"/>
          <w:numId w:val="2"/>
        </w:numPr>
        <w:spacing w:after="100"/>
      </w:pPr>
      <w:r>
        <w:rPr>
          <w:rFonts w:ascii="Arial" w:cs="Arial" w:eastAsia="Arial" w:hAnsi="Arial"/>
          <w:sz w:val="24"/>
          <w:szCs w:val="24"/>
        </w:rPr>
        <w:t xml:space="preserve">Property registration and ownership verification (integration with Lands Commission)</w:t>
      </w:r>
    </w:p>
    <w:p>
      <w:pPr>
        <w:pStyle w:val="ListParagraph"/>
        <w:numPr>
          <w:ilvl w:val="0"/>
          <w:numId w:val="2"/>
        </w:numPr>
        <w:spacing w:after="100"/>
      </w:pPr>
      <w:r>
        <w:rPr>
          <w:rFonts w:ascii="Arial" w:cs="Arial" w:eastAsia="Arial" w:hAnsi="Arial"/>
          <w:sz w:val="24"/>
          <w:szCs w:val="24"/>
        </w:rPr>
        <w:t xml:space="preserve">Digital contract creation, management, and tenant confirmation workflows</w:t>
      </w:r>
    </w:p>
    <w:p>
      <w:pPr>
        <w:pStyle w:val="ListParagraph"/>
        <w:numPr>
          <w:ilvl w:val="0"/>
          <w:numId w:val="2"/>
        </w:numPr>
        <w:spacing w:after="100"/>
      </w:pPr>
      <w:r>
        <w:rPr>
          <w:rFonts w:ascii="Arial" w:cs="Arial" w:eastAsia="Arial" w:hAnsi="Arial"/>
          <w:sz w:val="24"/>
          <w:szCs w:val="24"/>
        </w:rPr>
        <w:t xml:space="preserve">Payment processing with automatic tax withholding (Mobile Money, Bank Transfer)</w:t>
      </w:r>
    </w:p>
    <w:p>
      <w:pPr>
        <w:pStyle w:val="ListParagraph"/>
        <w:numPr>
          <w:ilvl w:val="0"/>
          <w:numId w:val="2"/>
        </w:numPr>
        <w:spacing w:after="100"/>
      </w:pPr>
      <w:r>
        <w:rPr>
          <w:rFonts w:ascii="Arial" w:cs="Arial" w:eastAsia="Arial" w:hAnsi="Arial"/>
          <w:sz w:val="24"/>
          <w:szCs w:val="24"/>
        </w:rPr>
        <w:t xml:space="preserve">Tax certificate generation and verification</w:t>
      </w:r>
    </w:p>
    <w:p>
      <w:pPr>
        <w:pStyle w:val="ListParagraph"/>
        <w:numPr>
          <w:ilvl w:val="0"/>
          <w:numId w:val="2"/>
        </w:numPr>
        <w:spacing w:after="100"/>
      </w:pPr>
      <w:r>
        <w:rPr>
          <w:rFonts w:ascii="Arial" w:cs="Arial" w:eastAsia="Arial" w:hAnsi="Arial"/>
          <w:sz w:val="24"/>
          <w:szCs w:val="24"/>
        </w:rPr>
        <w:t xml:space="preserve">Compliance monitoring and risk-based enforcement</w:t>
      </w:r>
    </w:p>
    <w:p>
      <w:pPr>
        <w:pStyle w:val="ListParagraph"/>
        <w:numPr>
          <w:ilvl w:val="0"/>
          <w:numId w:val="2"/>
        </w:numPr>
        <w:spacing w:after="100"/>
      </w:pPr>
      <w:r>
        <w:rPr>
          <w:rFonts w:ascii="Arial" w:cs="Arial" w:eastAsia="Arial" w:hAnsi="Arial"/>
          <w:sz w:val="24"/>
          <w:szCs w:val="24"/>
        </w:rPr>
        <w:t xml:space="preserve">Inspector case management and field operations</w:t>
      </w:r>
    </w:p>
    <w:p>
      <w:pPr>
        <w:pStyle w:val="ListParagraph"/>
        <w:numPr>
          <w:ilvl w:val="0"/>
          <w:numId w:val="2"/>
        </w:numPr>
        <w:spacing w:after="100"/>
      </w:pPr>
      <w:r>
        <w:rPr>
          <w:rFonts w:ascii="Arial" w:cs="Arial" w:eastAsia="Arial" w:hAnsi="Arial"/>
          <w:sz w:val="24"/>
          <w:szCs w:val="24"/>
        </w:rPr>
        <w:t xml:space="preserve">Dispute resolution workflow</w:t>
      </w:r>
    </w:p>
    <w:p>
      <w:pPr>
        <w:pStyle w:val="ListParagraph"/>
        <w:numPr>
          <w:ilvl w:val="0"/>
          <w:numId w:val="2"/>
        </w:numPr>
        <w:spacing w:after="100"/>
      </w:pPr>
      <w:r>
        <w:rPr>
          <w:rFonts w:ascii="Arial" w:cs="Arial" w:eastAsia="Arial" w:hAnsi="Arial"/>
          <w:sz w:val="24"/>
          <w:szCs w:val="24"/>
        </w:rPr>
        <w:t xml:space="preserve">Market rent data and price comparison tools</w:t>
      </w:r>
    </w:p>
    <w:p>
      <w:pPr>
        <w:pStyle w:val="ListParagraph"/>
        <w:numPr>
          <w:ilvl w:val="0"/>
          <w:numId w:val="2"/>
        </w:numPr>
        <w:spacing w:after="100"/>
      </w:pPr>
      <w:r>
        <w:rPr>
          <w:rFonts w:ascii="Arial" w:cs="Arial" w:eastAsia="Arial" w:hAnsi="Arial"/>
          <w:sz w:val="24"/>
          <w:szCs w:val="24"/>
        </w:rPr>
        <w:t xml:space="preserve">USSD interface for users without smartphones</w:t>
      </w:r>
    </w:p>
    <w:p>
      <w:pPr>
        <w:pStyle w:val="ListParagraph"/>
        <w:numPr>
          <w:ilvl w:val="0"/>
          <w:numId w:val="2"/>
        </w:numPr>
        <w:spacing w:after="200"/>
      </w:pPr>
      <w:r>
        <w:rPr>
          <w:rFonts w:ascii="Arial" w:cs="Arial" w:eastAsia="Arial" w:hAnsi="Arial"/>
          <w:sz w:val="24"/>
          <w:szCs w:val="24"/>
        </w:rPr>
        <w:t xml:space="preserve">Reporting and analytics dashboards for all stakeholder roles</w:t>
      </w:r>
    </w:p>
    <w:p>
      <w:pPr>
        <w:pStyle w:val="Heading2"/>
      </w:pPr>
      <w:r>
        <w:t xml:space="preserve">2.2 Out of Scope</w:t>
      </w:r>
    </w:p>
    <w:p>
      <w:pPr>
        <w:pStyle w:val="ListParagraph"/>
        <w:numPr>
          <w:ilvl w:val="0"/>
          <w:numId w:val="2"/>
        </w:numPr>
        <w:spacing w:after="100"/>
      </w:pPr>
      <w:r>
        <w:rPr>
          <w:rFonts w:ascii="Arial" w:cs="Arial" w:eastAsia="Arial" w:hAnsi="Arial"/>
          <w:sz w:val="24"/>
          <w:szCs w:val="24"/>
        </w:rPr>
        <w:t xml:space="preserve">Property sales and transfer transactions</w:t>
      </w:r>
    </w:p>
    <w:p>
      <w:pPr>
        <w:pStyle w:val="ListParagraph"/>
        <w:numPr>
          <w:ilvl w:val="0"/>
          <w:numId w:val="2"/>
        </w:numPr>
        <w:spacing w:after="100"/>
      </w:pPr>
      <w:r>
        <w:rPr>
          <w:rFonts w:ascii="Arial" w:cs="Arial" w:eastAsia="Arial" w:hAnsi="Arial"/>
          <w:sz w:val="24"/>
          <w:szCs w:val="24"/>
        </w:rPr>
        <w:t xml:space="preserve">Mortgage and property financing</w:t>
      </w:r>
    </w:p>
    <w:p>
      <w:pPr>
        <w:pStyle w:val="ListParagraph"/>
        <w:numPr>
          <w:ilvl w:val="0"/>
          <w:numId w:val="2"/>
        </w:numPr>
        <w:spacing w:after="100"/>
      </w:pPr>
      <w:r>
        <w:rPr>
          <w:rFonts w:ascii="Arial" w:cs="Arial" w:eastAsia="Arial" w:hAnsi="Arial"/>
          <w:sz w:val="24"/>
          <w:szCs w:val="24"/>
        </w:rPr>
        <w:t xml:space="preserve">Property valuation services</w:t>
      </w:r>
    </w:p>
    <w:p>
      <w:pPr>
        <w:pStyle w:val="ListParagraph"/>
        <w:numPr>
          <w:ilvl w:val="0"/>
          <w:numId w:val="2"/>
        </w:numPr>
        <w:spacing w:after="200"/>
      </w:pPr>
      <w:r>
        <w:rPr>
          <w:rFonts w:ascii="Arial" w:cs="Arial" w:eastAsia="Arial" w:hAnsi="Arial"/>
          <w:sz w:val="24"/>
          <w:szCs w:val="24"/>
        </w:rPr>
        <w:t xml:space="preserve">Building permits and construction approvals</w:t>
      </w:r>
    </w:p>
    <w:p>
      <w:pPr>
        <w:pStyle w:val="Heading2"/>
      </w:pPr>
      <w:r>
        <w:t xml:space="preserve">2.3 Business Objectives</w:t>
      </w:r>
    </w:p>
    <w:p>
      <w:pPr>
        <w:pStyle w:val="ListParagraph"/>
        <w:numPr>
          <w:ilvl w:val="0"/>
          <w:numId w:val="3"/>
        </w:numPr>
        <w:spacing w:after="100"/>
      </w:pPr>
      <w:r>
        <w:rPr>
          <w:rFonts w:ascii="Arial" w:cs="Arial" w:eastAsia="Arial" w:hAnsi="Arial"/>
          <w:sz w:val="24"/>
          <w:szCs w:val="24"/>
        </w:rPr>
        <w:t xml:space="preserve">Achieve 80% contract registration rate within 24 months of launch</w:t>
      </w:r>
    </w:p>
    <w:p>
      <w:pPr>
        <w:pStyle w:val="ListParagraph"/>
        <w:numPr>
          <w:ilvl w:val="0"/>
          <w:numId w:val="3"/>
        </w:numPr>
        <w:spacing w:after="100"/>
      </w:pPr>
      <w:r>
        <w:rPr>
          <w:rFonts w:ascii="Arial" w:cs="Arial" w:eastAsia="Arial" w:hAnsi="Arial"/>
          <w:sz w:val="24"/>
          <w:szCs w:val="24"/>
        </w:rPr>
        <w:t xml:space="preserve">Increase rental income tax collection by 300% within the first year</w:t>
      </w:r>
    </w:p>
    <w:p>
      <w:pPr>
        <w:pStyle w:val="ListParagraph"/>
        <w:numPr>
          <w:ilvl w:val="0"/>
          <w:numId w:val="3"/>
        </w:numPr>
        <w:spacing w:after="100"/>
      </w:pPr>
      <w:r>
        <w:rPr>
          <w:rFonts w:ascii="Arial" w:cs="Arial" w:eastAsia="Arial" w:hAnsi="Arial"/>
          <w:sz w:val="24"/>
          <w:szCs w:val="24"/>
        </w:rPr>
        <w:t xml:space="preserve">Reduce average advance payment requirements from 24 months to 6 months</w:t>
      </w:r>
    </w:p>
    <w:p>
      <w:pPr>
        <w:pStyle w:val="ListParagraph"/>
        <w:numPr>
          <w:ilvl w:val="0"/>
          <w:numId w:val="3"/>
        </w:numPr>
        <w:spacing w:after="100"/>
      </w:pPr>
      <w:r>
        <w:rPr>
          <w:rFonts w:ascii="Arial" w:cs="Arial" w:eastAsia="Arial" w:hAnsi="Arial"/>
          <w:sz w:val="24"/>
          <w:szCs w:val="24"/>
        </w:rPr>
        <w:t xml:space="preserve">Process 95% of payments through the digital platform</w:t>
      </w:r>
    </w:p>
    <w:p>
      <w:pPr>
        <w:pStyle w:val="ListParagraph"/>
        <w:numPr>
          <w:ilvl w:val="0"/>
          <w:numId w:val="3"/>
        </w:numPr>
        <w:spacing w:after="200"/>
      </w:pPr>
      <w:r>
        <w:rPr>
          <w:rFonts w:ascii="Arial" w:cs="Arial" w:eastAsia="Arial" w:hAnsi="Arial"/>
          <w:sz w:val="24"/>
          <w:szCs w:val="24"/>
        </w:rPr>
        <w:t xml:space="preserve">Resolve 90% of rental disputes within 30 days through the platform</w:t>
      </w:r>
    </w:p>
    <w:p>
      <w:r>
        <w:br w:type="page"/>
      </w:r>
    </w:p>
    <w:p>
      <w:pPr>
        <w:pStyle w:val="Heading1"/>
      </w:pPr>
      <w:r>
        <w:t xml:space="preserve">3. User Roles and Permissions</w:t>
      </w:r>
    </w:p>
    <w:p>
      <w:pPr>
        <w:spacing w:after="200"/>
      </w:pPr>
      <w:r>
        <w:rPr>
          <w:rFonts w:ascii="Arial" w:cs="Arial" w:eastAsia="Arial" w:hAnsi="Arial"/>
          <w:sz w:val="24"/>
          <w:szCs w:val="24"/>
        </w:rPr>
        <w:t xml:space="preserve">The system supports 12 distinct user roles with specific permissions tailored to their responsibilities. Each role has been designed to ensure proper segregation of duties and data access controls.</w:t>
      </w:r>
    </w:p>
    <w:p>
      <w:pPr>
        <w:pStyle w:val="Heading2"/>
      </w:pPr>
      <w:r>
        <w:t xml:space="preserve">3.1 Role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000"/>
        <w:gridCol w:w="11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Role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Key Permissions</w:t>
            </w:r>
          </w:p>
        </w:tc>
        <w:tc>
          <w:tcPr>
            <w:tcW w:type="dxa" w:w="1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Count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Landlord (Individual)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Property owner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Register properties, create contracts, receive payments, view tax certificates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Landlord (Corporate)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Property management company</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individual landlord permissions plus bulk operations, sub-user management, API access</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Tenant (Individual)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Person renting property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Confirm contracts, make payments, file disputes, access market data</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Tenant (Corporate)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Business renting property</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individual tenant permissions plus sub-user management</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GRA Officer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Tax authority official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View all contracts/payments, generate tax reports, manage audits, issue penalties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District Officer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Local government official</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View district data, assign inspectors, review inspections, issue local penalties</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Inspector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Field enforcement officer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View assigned cases, conduct inspections, upload evidence, submit reports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 Admin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Platform administrator</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system access, user management, configuration, audit logs</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Call Center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Customer support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View user information, assist with registration, handle inquiries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Police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Law enforcement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View enforcement cases, access for criminal investigations</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Ministry Staff</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Government oversight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View aggregate data, policy reports, system statistics</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Statistics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analysis role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Access anonymized data, generate statistical reports</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r>
    </w:tbl>
    <w:p>
      <w:pPr>
        <w:pStyle w:val="Heading2"/>
      </w:pPr>
      <w:r>
        <w:t xml:space="preserve">3.2 Role Details</w:t>
      </w:r>
    </w:p>
    <w:p>
      <w:pPr>
        <w:pStyle w:val="Heading3"/>
      </w:pPr>
      <w:r>
        <w:t xml:space="preserve">3.2.1 Landlord Roles</w:t>
      </w:r>
    </w:p>
    <w:p>
      <w:pPr>
        <w:spacing w:after="200"/>
      </w:pPr>
      <w:r>
        <w:rPr>
          <w:rFonts w:ascii="Arial" w:cs="Arial" w:eastAsia="Arial" w:hAnsi="Arial"/>
          <w:sz w:val="24"/>
          <w:szCs w:val="24"/>
        </w:rPr>
        <w:t xml:space="preserve">Individual landlords can register up to 10 properties and manage contracts directly. Corporate landlords have additional capabilities including API access for bulk operations, sub-user management for property managers, and higher property limits. Both types must verify identity through Ghana Card and provide TIN for tax purposes.</w:t>
      </w:r>
    </w:p>
    <w:p>
      <w:pPr>
        <w:pStyle w:val="Heading3"/>
      </w:pPr>
      <w:r>
        <w:t xml:space="preserve">3.2.2 Tenant Roles</w:t>
      </w:r>
    </w:p>
    <w:p>
      <w:pPr>
        <w:spacing w:after="200"/>
      </w:pPr>
      <w:r>
        <w:rPr>
          <w:rFonts w:ascii="Arial" w:cs="Arial" w:eastAsia="Arial" w:hAnsi="Arial"/>
          <w:sz w:val="24"/>
          <w:szCs w:val="24"/>
        </w:rPr>
        <w:t xml:space="preserve">Tenants are primarily reactive users who confirm contracts initiated by landlords, make payments, and can file disputes or report issues. Corporate tenants can manage multiple rental agreements across different locations and assign sub-users for payment processing.</w:t>
      </w:r>
    </w:p>
    <w:p>
      <w:pPr>
        <w:pStyle w:val="Heading3"/>
      </w:pPr>
      <w:r>
        <w:t xml:space="preserve">3.2.3 Government Roles</w:t>
      </w:r>
    </w:p>
    <w:p>
      <w:pPr>
        <w:spacing w:after="200"/>
      </w:pPr>
      <w:r>
        <w:rPr>
          <w:rFonts w:ascii="Arial" w:cs="Arial" w:eastAsia="Arial" w:hAnsi="Arial"/>
          <w:sz w:val="24"/>
          <w:szCs w:val="24"/>
        </w:rPr>
        <w:t xml:space="preserve">GRA Officers have system-wide visibility for tax compliance monitoring. District Officers manage local enforcement activities and assign inspectors. Inspectors conduct field operations with mobile-enabled evidence collection and GPS check-in capabilities.</w:t>
      </w:r>
    </w:p>
    <w:p>
      <w:r>
        <w:br w:type="page"/>
      </w:r>
    </w:p>
    <w:p>
      <w:pPr>
        <w:pStyle w:val="Heading1"/>
      </w:pPr>
      <w:r>
        <w:t xml:space="preserve">4. Functional Requirements</w:t>
      </w:r>
    </w:p>
    <w:p>
      <w:pPr>
        <w:pStyle w:val="Heading2"/>
      </w:pPr>
      <w:r>
        <w:t xml:space="preserve">4.1 Property Management Module</w:t>
      </w:r>
    </w:p>
    <w:p>
      <w:pPr>
        <w:pStyle w:val="Heading3"/>
      </w:pPr>
      <w:r>
        <w:t xml:space="preserve">4.1.1 Property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000"/>
        <w:gridCol w:w="286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Code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Property Type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Category</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Max Advance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R-SR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Single Room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Residential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 months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R-SC</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Self-Contained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Residential</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6 months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R-1B</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1-Bedroom Apartment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Residential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 months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R-2B</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2-Bedroom Apartment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Residential</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6 months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R-3B</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3-Bedroom Apartment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Residential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 months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R-4B+</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 Bedroom Apartment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Residential</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6 months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R-HS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Standalone House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Residential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 months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R-VL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Villa/Mansion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Residential</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6 months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R-CMP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Compound House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Residential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 months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C-SHP</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Shop/Retail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Commercial</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12 months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C-OFF</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Office Space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Commercial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 months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C-WHS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Warehouse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Commercial</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24 months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C-IND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Industrial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Commercial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24 months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C-MXD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Mixed Use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Commercial</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12 months</w:t>
            </w:r>
          </w:p>
        </w:tc>
      </w:tr>
    </w:tbl>
    <w:p>
      <w:pPr>
        <w:pStyle w:val="Heading3"/>
      </w:pPr>
      <w:r>
        <w:t xml:space="preserve">4.1.2 Property Registration Requirements</w:t>
      </w:r>
    </w:p>
    <w:p>
      <w:pPr>
        <w:spacing w:after="200"/>
      </w:pPr>
      <w:r>
        <w:rPr>
          <w:rFonts w:ascii="Arial" w:cs="Arial" w:eastAsia="Arial" w:hAnsi="Arial"/>
          <w:sz w:val="24"/>
          <w:szCs w:val="24"/>
        </w:rPr>
        <w:t xml:space="preserve">All properties must be registered with the following mandatory information:</w:t>
      </w:r>
    </w:p>
    <w:p>
      <w:pPr>
        <w:pStyle w:val="ListParagraph"/>
        <w:numPr>
          <w:ilvl w:val="0"/>
          <w:numId w:val="2"/>
        </w:numPr>
        <w:spacing w:after="100"/>
      </w:pPr>
      <w:r>
        <w:rPr>
          <w:rFonts w:ascii="Arial" w:cs="Arial" w:eastAsia="Arial" w:hAnsi="Arial"/>
          <w:sz w:val="24"/>
          <w:szCs w:val="24"/>
        </w:rPr>
        <w:t xml:space="preserve">Ghana Post Digital Address (validated against Ghana Post database)</w:t>
      </w:r>
    </w:p>
    <w:p>
      <w:pPr>
        <w:pStyle w:val="ListParagraph"/>
        <w:numPr>
          <w:ilvl w:val="0"/>
          <w:numId w:val="2"/>
        </w:numPr>
        <w:spacing w:after="100"/>
      </w:pPr>
      <w:r>
        <w:rPr>
          <w:rFonts w:ascii="Arial" w:cs="Arial" w:eastAsia="Arial" w:hAnsi="Arial"/>
          <w:sz w:val="24"/>
          <w:szCs w:val="24"/>
        </w:rPr>
        <w:t xml:space="preserve">Property type and category classification</w:t>
      </w:r>
    </w:p>
    <w:p>
      <w:pPr>
        <w:pStyle w:val="ListParagraph"/>
        <w:numPr>
          <w:ilvl w:val="0"/>
          <w:numId w:val="2"/>
        </w:numPr>
        <w:spacing w:after="100"/>
      </w:pPr>
      <w:r>
        <w:rPr>
          <w:rFonts w:ascii="Arial" w:cs="Arial" w:eastAsia="Arial" w:hAnsi="Arial"/>
          <w:sz w:val="24"/>
          <w:szCs w:val="24"/>
        </w:rPr>
        <w:t xml:space="preserve">Number of bedrooms and bathrooms (for residential)</w:t>
      </w:r>
    </w:p>
    <w:p>
      <w:pPr>
        <w:pStyle w:val="ListParagraph"/>
        <w:numPr>
          <w:ilvl w:val="0"/>
          <w:numId w:val="2"/>
        </w:numPr>
        <w:spacing w:after="100"/>
      </w:pPr>
      <w:r>
        <w:rPr>
          <w:rFonts w:ascii="Arial" w:cs="Arial" w:eastAsia="Arial" w:hAnsi="Arial"/>
          <w:sz w:val="24"/>
          <w:szCs w:val="24"/>
        </w:rPr>
        <w:t xml:space="preserve">Floor area in square meters</w:t>
      </w:r>
    </w:p>
    <w:p>
      <w:pPr>
        <w:pStyle w:val="ListParagraph"/>
        <w:numPr>
          <w:ilvl w:val="0"/>
          <w:numId w:val="2"/>
        </w:numPr>
        <w:spacing w:after="100"/>
      </w:pPr>
      <w:r>
        <w:rPr>
          <w:rFonts w:ascii="Arial" w:cs="Arial" w:eastAsia="Arial" w:hAnsi="Arial"/>
          <w:sz w:val="24"/>
          <w:szCs w:val="24"/>
        </w:rPr>
        <w:t xml:space="preserve">Ownership documentation (deed, lease, family land document)</w:t>
      </w:r>
    </w:p>
    <w:p>
      <w:pPr>
        <w:pStyle w:val="ListParagraph"/>
        <w:numPr>
          <w:ilvl w:val="0"/>
          <w:numId w:val="2"/>
        </w:numPr>
        <w:spacing w:after="100"/>
      </w:pPr>
      <w:r>
        <w:rPr>
          <w:rFonts w:ascii="Arial" w:cs="Arial" w:eastAsia="Arial" w:hAnsi="Arial"/>
          <w:sz w:val="24"/>
          <w:szCs w:val="24"/>
        </w:rPr>
        <w:t xml:space="preserve">Minimum one exterior photo and one photo per room</w:t>
      </w:r>
    </w:p>
    <w:p>
      <w:pPr>
        <w:pStyle w:val="ListParagraph"/>
        <w:numPr>
          <w:ilvl w:val="0"/>
          <w:numId w:val="2"/>
        </w:numPr>
        <w:spacing w:after="200"/>
      </w:pPr>
      <w:r>
        <w:rPr>
          <w:rFonts w:ascii="Arial" w:cs="Arial" w:eastAsia="Arial" w:hAnsi="Arial"/>
          <w:sz w:val="24"/>
          <w:szCs w:val="24"/>
        </w:rPr>
        <w:t xml:space="preserve">GPS coordinates captured from photo metadata or manual entry</w:t>
      </w:r>
    </w:p>
    <w:p>
      <w:pPr>
        <w:pStyle w:val="Heading3"/>
      </w:pPr>
      <w:r>
        <w:t xml:space="preserve">4.1.3 Ownership Types</w:t>
      </w:r>
    </w:p>
    <w:p>
      <w:pPr>
        <w:pStyle w:val="ListParagraph"/>
        <w:numPr>
          <w:ilvl w:val="0"/>
          <w:numId w:val="2"/>
        </w:numPr>
        <w:spacing w:after="100"/>
      </w:pPr>
      <w:r>
        <w:rPr>
          <w:rFonts w:ascii="Arial" w:cs="Arial" w:eastAsia="Arial" w:hAnsi="Arial"/>
          <w:sz w:val="24"/>
          <w:szCs w:val="24"/>
        </w:rPr>
        <w:t xml:space="preserve">Freehold: Full ownership with title deed</w:t>
      </w:r>
    </w:p>
    <w:p>
      <w:pPr>
        <w:pStyle w:val="ListParagraph"/>
        <w:numPr>
          <w:ilvl w:val="0"/>
          <w:numId w:val="2"/>
        </w:numPr>
        <w:spacing w:after="100"/>
      </w:pPr>
      <w:r>
        <w:rPr>
          <w:rFonts w:ascii="Arial" w:cs="Arial" w:eastAsia="Arial" w:hAnsi="Arial"/>
          <w:sz w:val="24"/>
          <w:szCs w:val="24"/>
        </w:rPr>
        <w:t xml:space="preserve">Leasehold: Long-term lease agreement (50-99 years typical)</w:t>
      </w:r>
    </w:p>
    <w:p>
      <w:pPr>
        <w:pStyle w:val="ListParagraph"/>
        <w:numPr>
          <w:ilvl w:val="0"/>
          <w:numId w:val="2"/>
        </w:numPr>
        <w:spacing w:after="100"/>
      </w:pPr>
      <w:r>
        <w:rPr>
          <w:rFonts w:ascii="Arial" w:cs="Arial" w:eastAsia="Arial" w:hAnsi="Arial"/>
          <w:sz w:val="24"/>
          <w:szCs w:val="24"/>
        </w:rPr>
        <w:t xml:space="preserve">Family Land: Traditional family ownership with allocation letter</w:t>
      </w:r>
    </w:p>
    <w:p>
      <w:pPr>
        <w:pStyle w:val="ListParagraph"/>
        <w:numPr>
          <w:ilvl w:val="0"/>
          <w:numId w:val="2"/>
        </w:numPr>
        <w:spacing w:after="100"/>
      </w:pPr>
      <w:r>
        <w:rPr>
          <w:rFonts w:ascii="Arial" w:cs="Arial" w:eastAsia="Arial" w:hAnsi="Arial"/>
          <w:sz w:val="24"/>
          <w:szCs w:val="24"/>
        </w:rPr>
        <w:t xml:space="preserve">Estate: Property within managed estate with HOA</w:t>
      </w:r>
    </w:p>
    <w:p>
      <w:pPr>
        <w:pStyle w:val="ListParagraph"/>
        <w:numPr>
          <w:ilvl w:val="0"/>
          <w:numId w:val="2"/>
        </w:numPr>
        <w:spacing w:after="200"/>
      </w:pPr>
      <w:r>
        <w:rPr>
          <w:rFonts w:ascii="Arial" w:cs="Arial" w:eastAsia="Arial" w:hAnsi="Arial"/>
          <w:sz w:val="24"/>
          <w:szCs w:val="24"/>
        </w:rPr>
        <w:t xml:space="preserve">Corporate: Property owned by registered company</w:t>
      </w:r>
    </w:p>
    <w:p>
      <w:r>
        <w:br w:type="page"/>
      </w:r>
    </w:p>
    <w:p>
      <w:pPr>
        <w:pStyle w:val="Heading2"/>
      </w:pPr>
      <w:r>
        <w:t xml:space="preserve">4.2 Contract Management Module</w:t>
      </w:r>
    </w:p>
    <w:p>
      <w:pPr>
        <w:pStyle w:val="Heading3"/>
      </w:pPr>
      <w:r>
        <w:t xml:space="preserve">4.2.1 Contract Creation Workflow</w:t>
      </w:r>
    </w:p>
    <w:p>
      <w:pPr>
        <w:spacing w:after="200"/>
      </w:pPr>
      <w:r>
        <w:rPr>
          <w:rFonts w:ascii="Arial" w:cs="Arial" w:eastAsia="Arial" w:hAnsi="Arial"/>
          <w:sz w:val="24"/>
          <w:szCs w:val="24"/>
        </w:rPr>
        <w:t xml:space="preserve">The contract creation process follows a structured workflow:</w:t>
      </w:r>
    </w:p>
    <w:p>
      <w:pPr>
        <w:pStyle w:val="ListParagraph"/>
        <w:numPr>
          <w:ilvl w:val="0"/>
          <w:numId w:val="3"/>
        </w:numPr>
        <w:spacing w:after="100"/>
      </w:pPr>
      <w:r>
        <w:rPr>
          <w:rFonts w:ascii="Arial" w:cs="Arial" w:eastAsia="Arial" w:hAnsi="Arial"/>
          <w:sz w:val="24"/>
          <w:szCs w:val="24"/>
        </w:rPr>
        <w:t xml:space="preserve">Landlord selects verified property from their portfolio</w:t>
      </w:r>
    </w:p>
    <w:p>
      <w:pPr>
        <w:pStyle w:val="ListParagraph"/>
        <w:numPr>
          <w:ilvl w:val="0"/>
          <w:numId w:val="3"/>
        </w:numPr>
        <w:spacing w:after="100"/>
      </w:pPr>
      <w:r>
        <w:rPr>
          <w:rFonts w:ascii="Arial" w:cs="Arial" w:eastAsia="Arial" w:hAnsi="Arial"/>
          <w:sz w:val="24"/>
          <w:szCs w:val="24"/>
        </w:rPr>
        <w:t xml:space="preserve">Landlord enters tenant information (phone number or email) or selects existing tenant</w:t>
      </w:r>
    </w:p>
    <w:p>
      <w:pPr>
        <w:pStyle w:val="ListParagraph"/>
        <w:numPr>
          <w:ilvl w:val="0"/>
          <w:numId w:val="3"/>
        </w:numPr>
        <w:spacing w:after="100"/>
      </w:pPr>
      <w:r>
        <w:rPr>
          <w:rFonts w:ascii="Arial" w:cs="Arial" w:eastAsia="Arial" w:hAnsi="Arial"/>
          <w:sz w:val="24"/>
          <w:szCs w:val="24"/>
        </w:rPr>
        <w:t xml:space="preserve">Landlord specifies contract terms: start date, duration, monthly rent, advance months, security deposit</w:t>
      </w:r>
    </w:p>
    <w:p>
      <w:pPr>
        <w:pStyle w:val="ListParagraph"/>
        <w:numPr>
          <w:ilvl w:val="0"/>
          <w:numId w:val="3"/>
        </w:numPr>
        <w:spacing w:after="100"/>
      </w:pPr>
      <w:r>
        <w:rPr>
          <w:rFonts w:ascii="Arial" w:cs="Arial" w:eastAsia="Arial" w:hAnsi="Arial"/>
          <w:sz w:val="24"/>
          <w:szCs w:val="24"/>
        </w:rPr>
        <w:t xml:space="preserve">System validates terms against business rules (advance limits, deposit caps)</w:t>
      </w:r>
    </w:p>
    <w:p>
      <w:pPr>
        <w:pStyle w:val="ListParagraph"/>
        <w:numPr>
          <w:ilvl w:val="0"/>
          <w:numId w:val="3"/>
        </w:numPr>
        <w:spacing w:after="100"/>
      </w:pPr>
      <w:r>
        <w:rPr>
          <w:rFonts w:ascii="Arial" w:cs="Arial" w:eastAsia="Arial" w:hAnsi="Arial"/>
          <w:sz w:val="24"/>
          <w:szCs w:val="24"/>
        </w:rPr>
        <w:t xml:space="preserve">Landlord uploads signed contract document (PDF or image)</w:t>
      </w:r>
    </w:p>
    <w:p>
      <w:pPr>
        <w:pStyle w:val="ListParagraph"/>
        <w:numPr>
          <w:ilvl w:val="0"/>
          <w:numId w:val="3"/>
        </w:numPr>
        <w:spacing w:after="100"/>
      </w:pPr>
      <w:r>
        <w:rPr>
          <w:rFonts w:ascii="Arial" w:cs="Arial" w:eastAsia="Arial" w:hAnsi="Arial"/>
          <w:sz w:val="24"/>
          <w:szCs w:val="24"/>
        </w:rPr>
        <w:t xml:space="preserve">System generates unique contract number and confirmation code</w:t>
      </w:r>
    </w:p>
    <w:p>
      <w:pPr>
        <w:pStyle w:val="ListParagraph"/>
        <w:numPr>
          <w:ilvl w:val="0"/>
          <w:numId w:val="3"/>
        </w:numPr>
        <w:spacing w:after="100"/>
      </w:pPr>
      <w:r>
        <w:rPr>
          <w:rFonts w:ascii="Arial" w:cs="Arial" w:eastAsia="Arial" w:hAnsi="Arial"/>
          <w:sz w:val="24"/>
          <w:szCs w:val="24"/>
        </w:rPr>
        <w:t xml:space="preserve">SMS notification sent to tenant with confirmation code</w:t>
      </w:r>
    </w:p>
    <w:p>
      <w:pPr>
        <w:pStyle w:val="ListParagraph"/>
        <w:numPr>
          <w:ilvl w:val="0"/>
          <w:numId w:val="3"/>
        </w:numPr>
        <w:spacing w:after="200"/>
      </w:pPr>
      <w:r>
        <w:rPr>
          <w:rFonts w:ascii="Arial" w:cs="Arial" w:eastAsia="Arial" w:hAnsi="Arial"/>
          <w:sz w:val="24"/>
          <w:szCs w:val="24"/>
        </w:rPr>
        <w:t xml:space="preserve">Tenant has 7 days to confirm or object to the contract</w:t>
      </w:r>
    </w:p>
    <w:p>
      <w:pPr>
        <w:pStyle w:val="Heading3"/>
      </w:pPr>
      <w:r>
        <w:t xml:space="preserve">4.2.2 Tenant Confirmation Process</w:t>
      </w:r>
    </w:p>
    <w:p>
      <w:pPr>
        <w:spacing w:after="200"/>
      </w:pPr>
      <w:r>
        <w:rPr>
          <w:rFonts w:ascii="Arial" w:cs="Arial" w:eastAsia="Arial" w:hAnsi="Arial"/>
          <w:sz w:val="24"/>
          <w:szCs w:val="24"/>
        </w:rPr>
        <w:t xml:space="preserve">When a tenant receives a contract confirmation request:</w:t>
      </w:r>
    </w:p>
    <w:p>
      <w:pPr>
        <w:pStyle w:val="ListParagraph"/>
        <w:numPr>
          <w:ilvl w:val="0"/>
          <w:numId w:val="2"/>
        </w:numPr>
        <w:spacing w:after="100"/>
      </w:pPr>
      <w:r>
        <w:rPr>
          <w:rFonts w:ascii="Arial" w:cs="Arial" w:eastAsia="Arial" w:hAnsi="Arial"/>
          <w:sz w:val="24"/>
          <w:szCs w:val="24"/>
        </w:rPr>
        <w:t xml:space="preserve">Tenant logs into system (or registers if new user)</w:t>
      </w:r>
    </w:p>
    <w:p>
      <w:pPr>
        <w:pStyle w:val="ListParagraph"/>
        <w:numPr>
          <w:ilvl w:val="0"/>
          <w:numId w:val="2"/>
        </w:numPr>
        <w:spacing w:after="100"/>
      </w:pPr>
      <w:r>
        <w:rPr>
          <w:rFonts w:ascii="Arial" w:cs="Arial" w:eastAsia="Arial" w:hAnsi="Arial"/>
          <w:sz w:val="24"/>
          <w:szCs w:val="24"/>
        </w:rPr>
        <w:t xml:space="preserve">Reviews complete contract details including property photos</w:t>
      </w:r>
    </w:p>
    <w:p>
      <w:pPr>
        <w:pStyle w:val="ListParagraph"/>
        <w:numPr>
          <w:ilvl w:val="0"/>
          <w:numId w:val="2"/>
        </w:numPr>
        <w:spacing w:after="100"/>
      </w:pPr>
      <w:r>
        <w:rPr>
          <w:rFonts w:ascii="Arial" w:cs="Arial" w:eastAsia="Arial" w:hAnsi="Arial"/>
          <w:sz w:val="24"/>
          <w:szCs w:val="24"/>
        </w:rPr>
        <w:t xml:space="preserve">Views market rent comparison for the property type and location</w:t>
      </w:r>
    </w:p>
    <w:p>
      <w:pPr>
        <w:pStyle w:val="ListParagraph"/>
        <w:numPr>
          <w:ilvl w:val="0"/>
          <w:numId w:val="2"/>
        </w:numPr>
        <w:spacing w:after="100"/>
      </w:pPr>
      <w:r>
        <w:rPr>
          <w:rFonts w:ascii="Arial" w:cs="Arial" w:eastAsia="Arial" w:hAnsi="Arial"/>
          <w:sz w:val="24"/>
          <w:szCs w:val="24"/>
        </w:rPr>
        <w:t xml:space="preserve">Enters OTP confirmation code received via SMS</w:t>
      </w:r>
    </w:p>
    <w:p>
      <w:pPr>
        <w:pStyle w:val="ListParagraph"/>
        <w:numPr>
          <w:ilvl w:val="0"/>
          <w:numId w:val="2"/>
        </w:numPr>
        <w:spacing w:after="200"/>
      </w:pPr>
      <w:r>
        <w:rPr>
          <w:rFonts w:ascii="Arial" w:cs="Arial" w:eastAsia="Arial" w:hAnsi="Arial"/>
          <w:sz w:val="24"/>
          <w:szCs w:val="24"/>
        </w:rPr>
        <w:t xml:space="preserve">Choice to CONFIRM (contract becomes active) or OBJECT (dispute process initiated)</w:t>
      </w:r>
    </w:p>
    <w:p>
      <w:pPr>
        <w:pStyle w:val="Heading3"/>
      </w:pPr>
      <w:r>
        <w:t xml:space="preserve">4.2.3 Contract Types</w:t>
      </w:r>
    </w:p>
    <w:p>
      <w:pPr>
        <w:pStyle w:val="ListParagraph"/>
        <w:numPr>
          <w:ilvl w:val="0"/>
          <w:numId w:val="2"/>
        </w:numPr>
        <w:spacing w:after="100"/>
      </w:pPr>
      <w:r>
        <w:rPr>
          <w:rFonts w:ascii="Arial" w:cs="Arial" w:eastAsia="Arial" w:hAnsi="Arial"/>
          <w:sz w:val="24"/>
          <w:szCs w:val="24"/>
        </w:rPr>
        <w:t xml:space="preserve">Standard Residential: Typical 12-month renewable lease</w:t>
      </w:r>
    </w:p>
    <w:p>
      <w:pPr>
        <w:pStyle w:val="ListParagraph"/>
        <w:numPr>
          <w:ilvl w:val="0"/>
          <w:numId w:val="2"/>
        </w:numPr>
        <w:spacing w:after="100"/>
      </w:pPr>
      <w:r>
        <w:rPr>
          <w:rFonts w:ascii="Arial" w:cs="Arial" w:eastAsia="Arial" w:hAnsi="Arial"/>
          <w:sz w:val="24"/>
          <w:szCs w:val="24"/>
        </w:rPr>
        <w:t xml:space="preserve">Short-Term: Less than 6 months, for furnished properties</w:t>
      </w:r>
    </w:p>
    <w:p>
      <w:pPr>
        <w:pStyle w:val="ListParagraph"/>
        <w:numPr>
          <w:ilvl w:val="0"/>
          <w:numId w:val="2"/>
        </w:numPr>
        <w:spacing w:after="100"/>
      </w:pPr>
      <w:r>
        <w:rPr>
          <w:rFonts w:ascii="Arial" w:cs="Arial" w:eastAsia="Arial" w:hAnsi="Arial"/>
          <w:sz w:val="24"/>
          <w:szCs w:val="24"/>
        </w:rPr>
        <w:t xml:space="preserve">Commercial: Business premises with extended advance allowances</w:t>
      </w:r>
    </w:p>
    <w:p>
      <w:pPr>
        <w:pStyle w:val="ListParagraph"/>
        <w:numPr>
          <w:ilvl w:val="0"/>
          <w:numId w:val="2"/>
        </w:numPr>
        <w:spacing w:after="200"/>
      </w:pPr>
      <w:r>
        <w:rPr>
          <w:rFonts w:ascii="Arial" w:cs="Arial" w:eastAsia="Arial" w:hAnsi="Arial"/>
          <w:sz w:val="24"/>
          <w:szCs w:val="24"/>
        </w:rPr>
        <w:t xml:space="preserve">Rent-to-Own: Special arrangement where portion of rent applies to purchase</w:t>
      </w:r>
    </w:p>
    <w:p>
      <w:r>
        <w:br w:type="page"/>
      </w:r>
    </w:p>
    <w:p>
      <w:pPr>
        <w:pStyle w:val="Heading2"/>
      </w:pPr>
      <w:r>
        <w:t xml:space="preserve">4.3 Payment Processing Module</w:t>
      </w:r>
    </w:p>
    <w:p>
      <w:pPr>
        <w:pStyle w:val="Heading3"/>
      </w:pPr>
      <w:r>
        <w:t xml:space="preserve">4.3.1 Supported Payment Methods</w:t>
      </w:r>
    </w:p>
    <w:p>
      <w:pPr>
        <w:pStyle w:val="ListParagraph"/>
        <w:numPr>
          <w:ilvl w:val="0"/>
          <w:numId w:val="2"/>
        </w:numPr>
        <w:spacing w:after="100"/>
      </w:pPr>
      <w:r>
        <w:rPr>
          <w:rFonts w:ascii="Arial" w:cs="Arial" w:eastAsia="Arial" w:hAnsi="Arial"/>
          <w:sz w:val="24"/>
          <w:szCs w:val="24"/>
        </w:rPr>
        <w:t xml:space="preserve">MTN Mobile Money: Integration with MTN MoMo API</w:t>
      </w:r>
    </w:p>
    <w:p>
      <w:pPr>
        <w:pStyle w:val="ListParagraph"/>
        <w:numPr>
          <w:ilvl w:val="0"/>
          <w:numId w:val="2"/>
        </w:numPr>
        <w:spacing w:after="100"/>
      </w:pPr>
      <w:r>
        <w:rPr>
          <w:rFonts w:ascii="Arial" w:cs="Arial" w:eastAsia="Arial" w:hAnsi="Arial"/>
          <w:sz w:val="24"/>
          <w:szCs w:val="24"/>
        </w:rPr>
        <w:t xml:space="preserve">Vodafone Cash: Integration with Vodafone Cash API</w:t>
      </w:r>
    </w:p>
    <w:p>
      <w:pPr>
        <w:pStyle w:val="ListParagraph"/>
        <w:numPr>
          <w:ilvl w:val="0"/>
          <w:numId w:val="2"/>
        </w:numPr>
        <w:spacing w:after="100"/>
      </w:pPr>
      <w:r>
        <w:rPr>
          <w:rFonts w:ascii="Arial" w:cs="Arial" w:eastAsia="Arial" w:hAnsi="Arial"/>
          <w:sz w:val="24"/>
          <w:szCs w:val="24"/>
        </w:rPr>
        <w:t xml:space="preserve">AirtelTigo Money: Integration with AirtelTigo Money API</w:t>
      </w:r>
    </w:p>
    <w:p>
      <w:pPr>
        <w:pStyle w:val="ListParagraph"/>
        <w:numPr>
          <w:ilvl w:val="0"/>
          <w:numId w:val="2"/>
        </w:numPr>
        <w:spacing w:after="200"/>
      </w:pPr>
      <w:r>
        <w:rPr>
          <w:rFonts w:ascii="Arial" w:cs="Arial" w:eastAsia="Arial" w:hAnsi="Arial"/>
          <w:sz w:val="24"/>
          <w:szCs w:val="24"/>
        </w:rPr>
        <w:t xml:space="preserve">Bank Transfer: Direct bank transfers with reference matching</w:t>
      </w:r>
    </w:p>
    <w:p>
      <w:pPr>
        <w:pStyle w:val="Heading3"/>
      </w:pPr>
      <w:r>
        <w:t xml:space="preserve">4.3.2 Payment Flow</w:t>
      </w:r>
    </w:p>
    <w:p>
      <w:pPr>
        <w:pStyle w:val="ListParagraph"/>
        <w:numPr>
          <w:ilvl w:val="0"/>
          <w:numId w:val="3"/>
        </w:numPr>
        <w:spacing w:after="100"/>
      </w:pPr>
      <w:r>
        <w:rPr>
          <w:rFonts w:ascii="Arial" w:cs="Arial" w:eastAsia="Arial" w:hAnsi="Arial"/>
          <w:sz w:val="24"/>
          <w:szCs w:val="24"/>
        </w:rPr>
        <w:t xml:space="preserve">Tenant initiates payment for active contract</w:t>
      </w:r>
    </w:p>
    <w:p>
      <w:pPr>
        <w:pStyle w:val="ListParagraph"/>
        <w:numPr>
          <w:ilvl w:val="0"/>
          <w:numId w:val="3"/>
        </w:numPr>
        <w:spacing w:after="100"/>
      </w:pPr>
      <w:r>
        <w:rPr>
          <w:rFonts w:ascii="Arial" w:cs="Arial" w:eastAsia="Arial" w:hAnsi="Arial"/>
          <w:sz w:val="24"/>
          <w:szCs w:val="24"/>
        </w:rPr>
        <w:t xml:space="preserve">System calculates breakdown: Gross amount, Tax (8%), Platform fee (1% max GHS 50), Net to landlord</w:t>
      </w:r>
    </w:p>
    <w:p>
      <w:pPr>
        <w:pStyle w:val="ListParagraph"/>
        <w:numPr>
          <w:ilvl w:val="0"/>
          <w:numId w:val="3"/>
        </w:numPr>
        <w:spacing w:after="100"/>
      </w:pPr>
      <w:r>
        <w:rPr>
          <w:rFonts w:ascii="Arial" w:cs="Arial" w:eastAsia="Arial" w:hAnsi="Arial"/>
          <w:sz w:val="24"/>
          <w:szCs w:val="24"/>
        </w:rPr>
        <w:t xml:space="preserve">Tenant selects payment method and confirms</w:t>
      </w:r>
    </w:p>
    <w:p>
      <w:pPr>
        <w:pStyle w:val="ListParagraph"/>
        <w:numPr>
          <w:ilvl w:val="0"/>
          <w:numId w:val="3"/>
        </w:numPr>
        <w:spacing w:after="100"/>
      </w:pPr>
      <w:r>
        <w:rPr>
          <w:rFonts w:ascii="Arial" w:cs="Arial" w:eastAsia="Arial" w:hAnsi="Arial"/>
          <w:sz w:val="24"/>
          <w:szCs w:val="24"/>
        </w:rPr>
        <w:t xml:space="preserve">Payment processed through selected provider</w:t>
      </w:r>
    </w:p>
    <w:p>
      <w:pPr>
        <w:pStyle w:val="ListParagraph"/>
        <w:numPr>
          <w:ilvl w:val="0"/>
          <w:numId w:val="3"/>
        </w:numPr>
        <w:spacing w:after="100"/>
      </w:pPr>
      <w:r>
        <w:rPr>
          <w:rFonts w:ascii="Arial" w:cs="Arial" w:eastAsia="Arial" w:hAnsi="Arial"/>
          <w:sz w:val="24"/>
          <w:szCs w:val="24"/>
        </w:rPr>
        <w:t xml:space="preserve">Tax amount automatically remitted to GRA</w:t>
      </w:r>
    </w:p>
    <w:p>
      <w:pPr>
        <w:pStyle w:val="ListParagraph"/>
        <w:numPr>
          <w:ilvl w:val="0"/>
          <w:numId w:val="3"/>
        </w:numPr>
        <w:spacing w:after="100"/>
      </w:pPr>
      <w:r>
        <w:rPr>
          <w:rFonts w:ascii="Arial" w:cs="Arial" w:eastAsia="Arial" w:hAnsi="Arial"/>
          <w:sz w:val="24"/>
          <w:szCs w:val="24"/>
        </w:rPr>
        <w:t xml:space="preserve">Net amount settled to landlord account</w:t>
      </w:r>
    </w:p>
    <w:p>
      <w:pPr>
        <w:pStyle w:val="ListParagraph"/>
        <w:numPr>
          <w:ilvl w:val="0"/>
          <w:numId w:val="3"/>
        </w:numPr>
        <w:spacing w:after="100"/>
      </w:pPr>
      <w:r>
        <w:rPr>
          <w:rFonts w:ascii="Arial" w:cs="Arial" w:eastAsia="Arial" w:hAnsi="Arial"/>
          <w:sz w:val="24"/>
          <w:szCs w:val="24"/>
        </w:rPr>
        <w:t xml:space="preserve">Digital receipt generated for both parties</w:t>
      </w:r>
    </w:p>
    <w:p>
      <w:pPr>
        <w:pStyle w:val="ListParagraph"/>
        <w:numPr>
          <w:ilvl w:val="0"/>
          <w:numId w:val="3"/>
        </w:numPr>
        <w:spacing w:after="200"/>
      </w:pPr>
      <w:r>
        <w:rPr>
          <w:rFonts w:ascii="Arial" w:cs="Arial" w:eastAsia="Arial" w:hAnsi="Arial"/>
          <w:sz w:val="24"/>
          <w:szCs w:val="24"/>
        </w:rPr>
        <w:t xml:space="preserve">SMS notifications sent to landlord and tenant</w:t>
      </w:r>
    </w:p>
    <w:p>
      <w:pPr>
        <w:pStyle w:val="Heading2"/>
      </w:pPr>
      <w:r>
        <w:t xml:space="preserve">4.4 Tax and Certificates Module</w:t>
      </w:r>
    </w:p>
    <w:p>
      <w:pPr>
        <w:pStyle w:val="Heading3"/>
      </w:pPr>
      <w:r>
        <w:t xml:space="preserve">4.4.1 Tax Rates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Landlord Type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Tax Rate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Criteria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Registered Individual Landlord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Landlord has valid TIN on file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Unregistered Individual Landlord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 TIN registered in system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Corporate Landlord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Company with valid registration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Resident Landlord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Landlord lives in same property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Social Housing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Government-approved affordable housing</w:t>
            </w:r>
          </w:p>
        </w:tc>
      </w:tr>
    </w:tbl>
    <w:p>
      <w:pPr>
        <w:pStyle w:val="Heading3"/>
      </w:pPr>
      <w:r>
        <w:t xml:space="preserve">4.4.2 Tax Certificate Generation</w:t>
      </w:r>
    </w:p>
    <w:p>
      <w:pPr>
        <w:spacing w:after="200"/>
      </w:pPr>
      <w:r>
        <w:rPr>
          <w:rFonts w:ascii="Arial" w:cs="Arial" w:eastAsia="Arial" w:hAnsi="Arial"/>
          <w:sz w:val="24"/>
          <w:szCs w:val="24"/>
        </w:rPr>
        <w:t xml:space="preserve">Tax certificates are generated automatically and serve as proof of tax withholding for landlords to use when filing annual tax returns. Certificates include QR codes for verification and can be validated by third parties (banks, government agencies) through the public verification portal.</w:t>
      </w:r>
    </w:p>
    <w:p>
      <w:pPr>
        <w:spacing w:after="200"/>
      </w:pPr>
      <w:r>
        <w:rPr>
          <w:rFonts w:ascii="Arial" w:cs="Arial" w:eastAsia="Arial" w:hAnsi="Arial"/>
          <w:b/>
          <w:bCs/>
          <w:sz w:val="24"/>
          <w:szCs w:val="24"/>
        </w:rPr>
        <w:t xml:space="preserve">Monthly Certificates: </w:t>
      </w:r>
      <w:r>
        <w:rPr>
          <w:rFonts w:ascii="Arial" w:cs="Arial" w:eastAsia="Arial" w:hAnsi="Arial"/>
          <w:sz w:val="24"/>
          <w:szCs w:val="24"/>
        </w:rPr>
        <w:t xml:space="preserve">Generated on the first business day of each month for the previous month's transactions.</w:t>
      </w:r>
    </w:p>
    <w:p>
      <w:pPr>
        <w:spacing w:after="200"/>
      </w:pPr>
      <w:r>
        <w:rPr>
          <w:rFonts w:ascii="Arial" w:cs="Arial" w:eastAsia="Arial" w:hAnsi="Arial"/>
          <w:b/>
          <w:bCs/>
          <w:sz w:val="24"/>
          <w:szCs w:val="24"/>
        </w:rPr>
        <w:t xml:space="preserve">Annual Certificates: </w:t>
      </w:r>
      <w:r>
        <w:rPr>
          <w:rFonts w:ascii="Arial" w:cs="Arial" w:eastAsia="Arial" w:hAnsi="Arial"/>
          <w:sz w:val="24"/>
          <w:szCs w:val="24"/>
        </w:rPr>
        <w:t xml:space="preserve">Consolidated summary generated in January for the previous tax year.</w:t>
      </w:r>
    </w:p>
    <w:p>
      <w:pPr>
        <w:spacing w:after="200"/>
      </w:pPr>
      <w:r>
        <w:rPr>
          <w:rFonts w:ascii="Arial" w:cs="Arial" w:eastAsia="Arial" w:hAnsi="Arial"/>
          <w:b/>
          <w:bCs/>
          <w:sz w:val="24"/>
          <w:szCs w:val="24"/>
        </w:rPr>
        <w:t xml:space="preserve">On-Demand: </w:t>
      </w:r>
      <w:r>
        <w:rPr>
          <w:rFonts w:ascii="Arial" w:cs="Arial" w:eastAsia="Arial" w:hAnsi="Arial"/>
          <w:sz w:val="24"/>
          <w:szCs w:val="24"/>
        </w:rPr>
        <w:t xml:space="preserve">Landlords can request custom period certificates through the dashboard.</w:t>
      </w:r>
    </w:p>
    <w:p>
      <w:r>
        <w:br w:type="page"/>
      </w:r>
    </w:p>
    <w:p>
      <w:pPr>
        <w:pStyle w:val="Heading2"/>
      </w:pPr>
      <w:r>
        <w:t xml:space="preserve">4.5 Compliance and Enforcement Module</w:t>
      </w:r>
    </w:p>
    <w:p>
      <w:pPr>
        <w:pStyle w:val="Heading3"/>
      </w:pPr>
      <w:r>
        <w:t xml:space="preserve">4.5.1 Compliance Score Calculation</w:t>
      </w:r>
    </w:p>
    <w:p>
      <w:pPr>
        <w:spacing w:after="200"/>
      </w:pPr>
      <w:r>
        <w:rPr>
          <w:rFonts w:ascii="Arial" w:cs="Arial" w:eastAsia="Arial" w:hAnsi="Arial"/>
          <w:sz w:val="24"/>
          <w:szCs w:val="24"/>
        </w:rPr>
        <w:t xml:space="preserve">Each landlord receives a compliance score (0-100) based on weighted factors:</w:t>
      </w:r>
    </w:p>
    <w:p>
      <w:pPr>
        <w:pStyle w:val="ListParagraph"/>
        <w:numPr>
          <w:ilvl w:val="0"/>
          <w:numId w:val="2"/>
        </w:numPr>
        <w:spacing w:after="100"/>
      </w:pPr>
      <w:r>
        <w:rPr>
          <w:rFonts w:ascii="Arial" w:cs="Arial" w:eastAsia="Arial" w:hAnsi="Arial"/>
          <w:sz w:val="24"/>
          <w:szCs w:val="24"/>
        </w:rPr>
        <w:t xml:space="preserve">Contract Registration Rate: 30% weighting - percentage of properties with registered contracts</w:t>
      </w:r>
    </w:p>
    <w:p>
      <w:pPr>
        <w:pStyle w:val="ListParagraph"/>
        <w:numPr>
          <w:ilvl w:val="0"/>
          <w:numId w:val="2"/>
        </w:numPr>
        <w:spacing w:after="100"/>
      </w:pPr>
      <w:r>
        <w:rPr>
          <w:rFonts w:ascii="Arial" w:cs="Arial" w:eastAsia="Arial" w:hAnsi="Arial"/>
          <w:sz w:val="24"/>
          <w:szCs w:val="24"/>
        </w:rPr>
        <w:t xml:space="preserve">Payment Timeliness: 25% weighting - percentage of payments processed on time</w:t>
      </w:r>
    </w:p>
    <w:p>
      <w:pPr>
        <w:pStyle w:val="ListParagraph"/>
        <w:numPr>
          <w:ilvl w:val="0"/>
          <w:numId w:val="2"/>
        </w:numPr>
        <w:spacing w:after="100"/>
      </w:pPr>
      <w:r>
        <w:rPr>
          <w:rFonts w:ascii="Arial" w:cs="Arial" w:eastAsia="Arial" w:hAnsi="Arial"/>
          <w:sz w:val="24"/>
          <w:szCs w:val="24"/>
        </w:rPr>
        <w:t xml:space="preserve">Tenant Confirmation Rate: 15% weighting - percentage of contracts confirmed by tenants</w:t>
      </w:r>
    </w:p>
    <w:p>
      <w:pPr>
        <w:pStyle w:val="ListParagraph"/>
        <w:numPr>
          <w:ilvl w:val="0"/>
          <w:numId w:val="2"/>
        </w:numPr>
        <w:spacing w:after="100"/>
      </w:pPr>
      <w:r>
        <w:rPr>
          <w:rFonts w:ascii="Arial" w:cs="Arial" w:eastAsia="Arial" w:hAnsi="Arial"/>
          <w:sz w:val="24"/>
          <w:szCs w:val="24"/>
        </w:rPr>
        <w:t xml:space="preserve">Document Completeness: 10% weighting - verified ownership documentation</w:t>
      </w:r>
    </w:p>
    <w:p>
      <w:pPr>
        <w:pStyle w:val="ListParagraph"/>
        <w:numPr>
          <w:ilvl w:val="0"/>
          <w:numId w:val="2"/>
        </w:numPr>
        <w:spacing w:after="100"/>
      </w:pPr>
      <w:r>
        <w:rPr>
          <w:rFonts w:ascii="Arial" w:cs="Arial" w:eastAsia="Arial" w:hAnsi="Arial"/>
          <w:sz w:val="24"/>
          <w:szCs w:val="24"/>
        </w:rPr>
        <w:t xml:space="preserve">Dispute History: 10% weighting - deductions for lost disputes</w:t>
      </w:r>
    </w:p>
    <w:p>
      <w:pPr>
        <w:pStyle w:val="ListParagraph"/>
        <w:numPr>
          <w:ilvl w:val="0"/>
          <w:numId w:val="2"/>
        </w:numPr>
        <w:spacing w:after="200"/>
      </w:pPr>
      <w:r>
        <w:rPr>
          <w:rFonts w:ascii="Arial" w:cs="Arial" w:eastAsia="Arial" w:hAnsi="Arial"/>
          <w:sz w:val="24"/>
          <w:szCs w:val="24"/>
        </w:rPr>
        <w:t xml:space="preserve">Inspection Results: 10% weighting - deductions for confirmed violations</w:t>
      </w:r>
    </w:p>
    <w:p>
      <w:pPr>
        <w:pStyle w:val="Heading3"/>
      </w:pPr>
      <w:r>
        <w:t xml:space="preserve">4.5.2 Risk Detection</w:t>
      </w:r>
    </w:p>
    <w:p>
      <w:pPr>
        <w:spacing w:after="200"/>
      </w:pPr>
      <w:r>
        <w:rPr>
          <w:rFonts w:ascii="Arial" w:cs="Arial" w:eastAsia="Arial" w:hAnsi="Arial"/>
          <w:sz w:val="24"/>
          <w:szCs w:val="24"/>
        </w:rPr>
        <w:t xml:space="preserve">The system uses automated risk scoring to identify potential violations:</w:t>
      </w:r>
    </w:p>
    <w:p>
      <w:pPr>
        <w:pStyle w:val="ListParagraph"/>
        <w:numPr>
          <w:ilvl w:val="0"/>
          <w:numId w:val="2"/>
        </w:numPr>
        <w:spacing w:after="100"/>
      </w:pPr>
      <w:r>
        <w:rPr>
          <w:rFonts w:ascii="Arial" w:cs="Arial" w:eastAsia="Arial" w:hAnsi="Arial"/>
          <w:sz w:val="24"/>
          <w:szCs w:val="24"/>
        </w:rPr>
        <w:t xml:space="preserve">Property registered but no contracts for 6+ months: +25 risk points</w:t>
      </w:r>
    </w:p>
    <w:p>
      <w:pPr>
        <w:pStyle w:val="ListParagraph"/>
        <w:numPr>
          <w:ilvl w:val="0"/>
          <w:numId w:val="2"/>
        </w:numPr>
        <w:spacing w:after="100"/>
      </w:pPr>
      <w:r>
        <w:rPr>
          <w:rFonts w:ascii="Arial" w:cs="Arial" w:eastAsia="Arial" w:hAnsi="Arial"/>
          <w:sz w:val="24"/>
          <w:szCs w:val="24"/>
        </w:rPr>
        <w:t xml:space="preserve">GSM data indicates residence without registered contract: +20 risk points</w:t>
      </w:r>
    </w:p>
    <w:p>
      <w:pPr>
        <w:pStyle w:val="ListParagraph"/>
        <w:numPr>
          <w:ilvl w:val="0"/>
          <w:numId w:val="2"/>
        </w:numPr>
        <w:spacing w:after="100"/>
      </w:pPr>
      <w:r>
        <w:rPr>
          <w:rFonts w:ascii="Arial" w:cs="Arial" w:eastAsia="Arial" w:hAnsi="Arial"/>
          <w:sz w:val="24"/>
          <w:szCs w:val="24"/>
        </w:rPr>
        <w:t xml:space="preserve">Utility usage anomaly (high consumption, no contract): +15 risk points</w:t>
      </w:r>
    </w:p>
    <w:p>
      <w:pPr>
        <w:pStyle w:val="ListParagraph"/>
        <w:numPr>
          <w:ilvl w:val="0"/>
          <w:numId w:val="2"/>
        </w:numPr>
        <w:spacing w:after="100"/>
      </w:pPr>
      <w:r>
        <w:rPr>
          <w:rFonts w:ascii="Arial" w:cs="Arial" w:eastAsia="Arial" w:hAnsi="Arial"/>
          <w:sz w:val="24"/>
          <w:szCs w:val="24"/>
        </w:rPr>
        <w:t xml:space="preserve">Anonymous tip received: +15 risk points per report</w:t>
      </w:r>
    </w:p>
    <w:p>
      <w:pPr>
        <w:pStyle w:val="ListParagraph"/>
        <w:numPr>
          <w:ilvl w:val="0"/>
          <w:numId w:val="2"/>
        </w:numPr>
        <w:spacing w:after="200"/>
      </w:pPr>
      <w:r>
        <w:rPr>
          <w:rFonts w:ascii="Arial" w:cs="Arial" w:eastAsia="Arial" w:hAnsi="Arial"/>
          <w:sz w:val="24"/>
          <w:szCs w:val="24"/>
        </w:rPr>
        <w:t xml:space="preserve">When score exceeds 60 points, an inspection case is automatically created</w:t>
      </w:r>
    </w:p>
    <w:p>
      <w:pPr>
        <w:pStyle w:val="Heading3"/>
      </w:pPr>
      <w:r>
        <w:t xml:space="preserve">4.5.3 Penalty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Violation Type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First Offense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Second Offense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Third Offense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Unregistered Contract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 of annual rent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200% of annual rent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300% of annual rent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Excess Advance Payment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50% of excess amount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100% of excess amount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200% of excess amount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False Information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GHS 10,000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GHS 50,000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Criminal prosecution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Cash Payment Evasion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100% of amount (50% to tenant)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200% of amount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License revocation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Missing QR Code Display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GHS 5,000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GHS 20,000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Business closure order</w:t>
            </w:r>
          </w:p>
        </w:tc>
      </w:tr>
    </w:tbl>
    <w:p>
      <w:r>
        <w:br w:type="page"/>
      </w:r>
    </w:p>
    <w:p>
      <w:pPr>
        <w:pStyle w:val="Heading2"/>
      </w:pPr>
      <w:r>
        <w:t xml:space="preserve">4.6 Market Rent Checker Module</w:t>
      </w:r>
    </w:p>
    <w:p>
      <w:pPr>
        <w:spacing w:after="200"/>
      </w:pPr>
      <w:r>
        <w:rPr>
          <w:rFonts w:ascii="Arial" w:cs="Arial" w:eastAsia="Arial" w:hAnsi="Arial"/>
          <w:sz w:val="24"/>
          <w:szCs w:val="24"/>
        </w:rPr>
        <w:t xml:space="preserve">The Market Rent Checker provides transparency by allowing anyone (registered or not) to check typical rental prices in any area. This helps tenants assess whether proposed rents are fair and helps landlords price their properties competitively.</w:t>
      </w:r>
    </w:p>
    <w:p>
      <w:pPr>
        <w:pStyle w:val="Heading3"/>
      </w:pPr>
      <w:r>
        <w:t xml:space="preserve">4.6.1 Data Inputs</w:t>
      </w:r>
    </w:p>
    <w:p>
      <w:pPr>
        <w:pStyle w:val="ListParagraph"/>
        <w:numPr>
          <w:ilvl w:val="0"/>
          <w:numId w:val="2"/>
        </w:numPr>
        <w:spacing w:after="100"/>
      </w:pPr>
      <w:r>
        <w:rPr>
          <w:rFonts w:ascii="Arial" w:cs="Arial" w:eastAsia="Arial" w:hAnsi="Arial"/>
          <w:sz w:val="24"/>
          <w:szCs w:val="24"/>
        </w:rPr>
        <w:t xml:space="preserve">Region (required)</w:t>
      </w:r>
    </w:p>
    <w:p>
      <w:pPr>
        <w:pStyle w:val="ListParagraph"/>
        <w:numPr>
          <w:ilvl w:val="0"/>
          <w:numId w:val="2"/>
        </w:numPr>
        <w:spacing w:after="100"/>
      </w:pPr>
      <w:r>
        <w:rPr>
          <w:rFonts w:ascii="Arial" w:cs="Arial" w:eastAsia="Arial" w:hAnsi="Arial"/>
          <w:sz w:val="24"/>
          <w:szCs w:val="24"/>
        </w:rPr>
        <w:t xml:space="preserve">District (required)</w:t>
      </w:r>
    </w:p>
    <w:p>
      <w:pPr>
        <w:pStyle w:val="ListParagraph"/>
        <w:numPr>
          <w:ilvl w:val="0"/>
          <w:numId w:val="2"/>
        </w:numPr>
        <w:spacing w:after="100"/>
      </w:pPr>
      <w:r>
        <w:rPr>
          <w:rFonts w:ascii="Arial" w:cs="Arial" w:eastAsia="Arial" w:hAnsi="Arial"/>
          <w:sz w:val="24"/>
          <w:szCs w:val="24"/>
        </w:rPr>
        <w:t xml:space="preserve">Neighborhood (optional, for more specific data)</w:t>
      </w:r>
    </w:p>
    <w:p>
      <w:pPr>
        <w:pStyle w:val="ListParagraph"/>
        <w:numPr>
          <w:ilvl w:val="0"/>
          <w:numId w:val="2"/>
        </w:numPr>
        <w:spacing w:after="100"/>
      </w:pPr>
      <w:r>
        <w:rPr>
          <w:rFonts w:ascii="Arial" w:cs="Arial" w:eastAsia="Arial" w:hAnsi="Arial"/>
          <w:sz w:val="24"/>
          <w:szCs w:val="24"/>
        </w:rPr>
        <w:t xml:space="preserve">Property type (required)</w:t>
      </w:r>
    </w:p>
    <w:p>
      <w:pPr>
        <w:pStyle w:val="ListParagraph"/>
        <w:numPr>
          <w:ilvl w:val="0"/>
          <w:numId w:val="2"/>
        </w:numPr>
        <w:spacing w:after="200"/>
      </w:pPr>
      <w:r>
        <w:rPr>
          <w:rFonts w:ascii="Arial" w:cs="Arial" w:eastAsia="Arial" w:hAnsi="Arial"/>
          <w:sz w:val="24"/>
          <w:szCs w:val="24"/>
        </w:rPr>
        <w:t xml:space="preserve">Number of bedrooms (for residential)</w:t>
      </w:r>
    </w:p>
    <w:p>
      <w:pPr>
        <w:pStyle w:val="Heading3"/>
      </w:pPr>
      <w:r>
        <w:t xml:space="preserve">4.6.2 Data Outputs</w:t>
      </w:r>
    </w:p>
    <w:p>
      <w:pPr>
        <w:pStyle w:val="ListParagraph"/>
        <w:numPr>
          <w:ilvl w:val="0"/>
          <w:numId w:val="2"/>
        </w:numPr>
        <w:spacing w:after="100"/>
      </w:pPr>
      <w:r>
        <w:rPr>
          <w:rFonts w:ascii="Arial" w:cs="Arial" w:eastAsia="Arial" w:hAnsi="Arial"/>
          <w:sz w:val="24"/>
          <w:szCs w:val="24"/>
        </w:rPr>
        <w:t xml:space="preserve">Average monthly rent for the criteria</w:t>
      </w:r>
    </w:p>
    <w:p>
      <w:pPr>
        <w:pStyle w:val="ListParagraph"/>
        <w:numPr>
          <w:ilvl w:val="0"/>
          <w:numId w:val="2"/>
        </w:numPr>
        <w:spacing w:after="100"/>
      </w:pPr>
      <w:r>
        <w:rPr>
          <w:rFonts w:ascii="Arial" w:cs="Arial" w:eastAsia="Arial" w:hAnsi="Arial"/>
          <w:sz w:val="24"/>
          <w:szCs w:val="24"/>
        </w:rPr>
        <w:t xml:space="preserve">Median rent (less affected by outliers)</w:t>
      </w:r>
    </w:p>
    <w:p>
      <w:pPr>
        <w:pStyle w:val="ListParagraph"/>
        <w:numPr>
          <w:ilvl w:val="0"/>
          <w:numId w:val="2"/>
        </w:numPr>
        <w:spacing w:after="100"/>
      </w:pPr>
      <w:r>
        <w:rPr>
          <w:rFonts w:ascii="Arial" w:cs="Arial" w:eastAsia="Arial" w:hAnsi="Arial"/>
          <w:sz w:val="24"/>
          <w:szCs w:val="24"/>
        </w:rPr>
        <w:t xml:space="preserve">10th and 90th percentile range (typical low to high)</w:t>
      </w:r>
    </w:p>
    <w:p>
      <w:pPr>
        <w:pStyle w:val="ListParagraph"/>
        <w:numPr>
          <w:ilvl w:val="0"/>
          <w:numId w:val="2"/>
        </w:numPr>
        <w:spacing w:after="100"/>
      </w:pPr>
      <w:r>
        <w:rPr>
          <w:rFonts w:ascii="Arial" w:cs="Arial" w:eastAsia="Arial" w:hAnsi="Arial"/>
          <w:sz w:val="24"/>
          <w:szCs w:val="24"/>
        </w:rPr>
        <w:t xml:space="preserve">Sample size (number of contracts used)</w:t>
      </w:r>
    </w:p>
    <w:p>
      <w:pPr>
        <w:pStyle w:val="ListParagraph"/>
        <w:numPr>
          <w:ilvl w:val="0"/>
          <w:numId w:val="2"/>
        </w:numPr>
        <w:spacing w:after="200"/>
      </w:pPr>
      <w:r>
        <w:rPr>
          <w:rFonts w:ascii="Arial" w:cs="Arial" w:eastAsia="Arial" w:hAnsi="Arial"/>
          <w:sz w:val="24"/>
          <w:szCs w:val="24"/>
        </w:rPr>
        <w:t xml:space="preserve">12-month trend visualization</w:t>
      </w:r>
    </w:p>
    <w:p>
      <w:r>
        <w:br w:type="page"/>
      </w:r>
    </w:p>
    <w:p>
      <w:pPr>
        <w:pStyle w:val="Heading1"/>
      </w:pPr>
      <w:r>
        <w:t xml:space="preserve">5. Business Rules and Compliance</w:t>
      </w:r>
    </w:p>
    <w:p>
      <w:pPr>
        <w:pStyle w:val="Heading2"/>
      </w:pPr>
      <w:r>
        <w:t xml:space="preserve">5.1 Contract Business Rules</w:t>
      </w:r>
    </w:p>
    <w:p>
      <w:pPr>
        <w:pStyle w:val="Heading3"/>
      </w:pPr>
      <w:r>
        <w:t xml:space="preserve">5.1.1 Advance Payment Limits</w:t>
      </w:r>
    </w:p>
    <w:p>
      <w:pPr>
        <w:pStyle w:val="ListParagraph"/>
        <w:numPr>
          <w:ilvl w:val="0"/>
          <w:numId w:val="2"/>
        </w:numPr>
        <w:spacing w:after="100"/>
      </w:pPr>
      <w:r>
        <w:rPr>
          <w:rFonts w:ascii="Arial" w:cs="Arial" w:eastAsia="Arial" w:hAnsi="Arial"/>
          <w:sz w:val="24"/>
          <w:szCs w:val="24"/>
        </w:rPr>
        <w:t xml:space="preserve">Residential properties: Maximum 6 months advance payment</w:t>
      </w:r>
    </w:p>
    <w:p>
      <w:pPr>
        <w:pStyle w:val="ListParagraph"/>
        <w:numPr>
          <w:ilvl w:val="0"/>
          <w:numId w:val="2"/>
        </w:numPr>
        <w:spacing w:after="100"/>
      </w:pPr>
      <w:r>
        <w:rPr>
          <w:rFonts w:ascii="Arial" w:cs="Arial" w:eastAsia="Arial" w:hAnsi="Arial"/>
          <w:sz w:val="24"/>
          <w:szCs w:val="24"/>
        </w:rPr>
        <w:t xml:space="preserve">Commercial (Shop, Office, Mixed): Maximum 12 months advance payment</w:t>
      </w:r>
    </w:p>
    <w:p>
      <w:pPr>
        <w:pStyle w:val="ListParagraph"/>
        <w:numPr>
          <w:ilvl w:val="0"/>
          <w:numId w:val="2"/>
        </w:numPr>
        <w:spacing w:after="100"/>
      </w:pPr>
      <w:r>
        <w:rPr>
          <w:rFonts w:ascii="Arial" w:cs="Arial" w:eastAsia="Arial" w:hAnsi="Arial"/>
          <w:sz w:val="24"/>
          <w:szCs w:val="24"/>
        </w:rPr>
        <w:t xml:space="preserve">Commercial (Warehouse, Industrial): Maximum 24 months advance payment</w:t>
      </w:r>
    </w:p>
    <w:p>
      <w:pPr>
        <w:pStyle w:val="ListParagraph"/>
        <w:numPr>
          <w:ilvl w:val="0"/>
          <w:numId w:val="2"/>
        </w:numPr>
        <w:spacing w:after="200"/>
      </w:pPr>
      <w:r>
        <w:rPr>
          <w:rFonts w:ascii="Arial" w:cs="Arial" w:eastAsia="Arial" w:hAnsi="Arial"/>
          <w:sz w:val="24"/>
          <w:szCs w:val="24"/>
        </w:rPr>
        <w:t xml:space="preserve">System will reject contracts exceeding these limits</w:t>
      </w:r>
    </w:p>
    <w:p>
      <w:pPr>
        <w:pStyle w:val="Heading3"/>
      </w:pPr>
      <w:r>
        <w:t xml:space="preserve">5.1.2 Security Deposit Rules</w:t>
      </w:r>
    </w:p>
    <w:p>
      <w:pPr>
        <w:pStyle w:val="ListParagraph"/>
        <w:numPr>
          <w:ilvl w:val="0"/>
          <w:numId w:val="2"/>
        </w:numPr>
        <w:spacing w:after="100"/>
      </w:pPr>
      <w:r>
        <w:rPr>
          <w:rFonts w:ascii="Arial" w:cs="Arial" w:eastAsia="Arial" w:hAnsi="Arial"/>
          <w:sz w:val="24"/>
          <w:szCs w:val="24"/>
        </w:rPr>
        <w:t xml:space="preserve">Maximum security deposit: 3 months of monthly rent</w:t>
      </w:r>
    </w:p>
    <w:p>
      <w:pPr>
        <w:pStyle w:val="ListParagraph"/>
        <w:numPr>
          <w:ilvl w:val="0"/>
          <w:numId w:val="2"/>
        </w:numPr>
        <w:spacing w:after="100"/>
      </w:pPr>
      <w:r>
        <w:rPr>
          <w:rFonts w:ascii="Arial" w:cs="Arial" w:eastAsia="Arial" w:hAnsi="Arial"/>
          <w:sz w:val="24"/>
          <w:szCs w:val="24"/>
        </w:rPr>
        <w:t xml:space="preserve">Deposit must be refundable under agreed conditions</w:t>
      </w:r>
    </w:p>
    <w:p>
      <w:pPr>
        <w:pStyle w:val="ListParagraph"/>
        <w:numPr>
          <w:ilvl w:val="0"/>
          <w:numId w:val="2"/>
        </w:numPr>
        <w:spacing w:after="200"/>
      </w:pPr>
      <w:r>
        <w:rPr>
          <w:rFonts w:ascii="Arial" w:cs="Arial" w:eastAsia="Arial" w:hAnsi="Arial"/>
          <w:sz w:val="24"/>
          <w:szCs w:val="24"/>
        </w:rPr>
        <w:t xml:space="preserve">Deposit disputes can be filed through the system</w:t>
      </w:r>
    </w:p>
    <w:p>
      <w:pPr>
        <w:pStyle w:val="Heading3"/>
      </w:pPr>
      <w:r>
        <w:t xml:space="preserve">5.1.3 Contract Duration</w:t>
      </w:r>
    </w:p>
    <w:p>
      <w:pPr>
        <w:pStyle w:val="ListParagraph"/>
        <w:numPr>
          <w:ilvl w:val="0"/>
          <w:numId w:val="2"/>
        </w:numPr>
        <w:spacing w:after="100"/>
      </w:pPr>
      <w:r>
        <w:rPr>
          <w:rFonts w:ascii="Arial" w:cs="Arial" w:eastAsia="Arial" w:hAnsi="Arial"/>
          <w:sz w:val="24"/>
          <w:szCs w:val="24"/>
        </w:rPr>
        <w:t xml:space="preserve">Minimum contract duration: 1 month</w:t>
      </w:r>
    </w:p>
    <w:p>
      <w:pPr>
        <w:pStyle w:val="ListParagraph"/>
        <w:numPr>
          <w:ilvl w:val="0"/>
          <w:numId w:val="2"/>
        </w:numPr>
        <w:spacing w:after="100"/>
      </w:pPr>
      <w:r>
        <w:rPr>
          <w:rFonts w:ascii="Arial" w:cs="Arial" w:eastAsia="Arial" w:hAnsi="Arial"/>
          <w:sz w:val="24"/>
          <w:szCs w:val="24"/>
        </w:rPr>
        <w:t xml:space="preserve">Maximum contract duration: 60 months (5 years)</w:t>
      </w:r>
    </w:p>
    <w:p>
      <w:pPr>
        <w:pStyle w:val="ListParagraph"/>
        <w:numPr>
          <w:ilvl w:val="0"/>
          <w:numId w:val="2"/>
        </w:numPr>
        <w:spacing w:after="200"/>
      </w:pPr>
      <w:r>
        <w:rPr>
          <w:rFonts w:ascii="Arial" w:cs="Arial" w:eastAsia="Arial" w:hAnsi="Arial"/>
          <w:sz w:val="24"/>
          <w:szCs w:val="24"/>
        </w:rPr>
        <w:t xml:space="preserve">Tenant confirmation required within 7 days of contract creation</w:t>
      </w:r>
    </w:p>
    <w:p>
      <w:pPr>
        <w:pStyle w:val="Heading2"/>
      </w:pPr>
      <w:r>
        <w:t xml:space="preserve">5.2 Payment Business Rules</w:t>
      </w:r>
    </w:p>
    <w:p>
      <w:pPr>
        <w:pStyle w:val="Heading3"/>
      </w:pPr>
      <w:r>
        <w:t xml:space="preserve">5.2.1 Tax Exemptions</w:t>
      </w:r>
    </w:p>
    <w:p>
      <w:pPr>
        <w:pStyle w:val="ListParagraph"/>
        <w:numPr>
          <w:ilvl w:val="0"/>
          <w:numId w:val="2"/>
        </w:numPr>
        <w:spacing w:after="100"/>
      </w:pPr>
      <w:r>
        <w:rPr>
          <w:rFonts w:ascii="Arial" w:cs="Arial" w:eastAsia="Arial" w:hAnsi="Arial"/>
          <w:sz w:val="24"/>
          <w:szCs w:val="24"/>
        </w:rPr>
        <w:t xml:space="preserve">Properties with monthly rent below GHS 500 are exempt from tax withholding</w:t>
      </w:r>
    </w:p>
    <w:p>
      <w:pPr>
        <w:pStyle w:val="ListParagraph"/>
        <w:numPr>
          <w:ilvl w:val="0"/>
          <w:numId w:val="2"/>
        </w:numPr>
        <w:spacing w:after="100"/>
      </w:pPr>
      <w:r>
        <w:rPr>
          <w:rFonts w:ascii="Arial" w:cs="Arial" w:eastAsia="Arial" w:hAnsi="Arial"/>
          <w:sz w:val="24"/>
          <w:szCs w:val="24"/>
        </w:rPr>
        <w:t xml:space="preserve">Resident landlords (living in same property) qualify for 0% rate</w:t>
      </w:r>
    </w:p>
    <w:p>
      <w:pPr>
        <w:pStyle w:val="ListParagraph"/>
        <w:numPr>
          <w:ilvl w:val="0"/>
          <w:numId w:val="2"/>
        </w:numPr>
        <w:spacing w:after="200"/>
      </w:pPr>
      <w:r>
        <w:rPr>
          <w:rFonts w:ascii="Arial" w:cs="Arial" w:eastAsia="Arial" w:hAnsi="Arial"/>
          <w:sz w:val="24"/>
          <w:szCs w:val="24"/>
        </w:rPr>
        <w:t xml:space="preserve">Government-certified social housing qualifies for reduced 2% rate</w:t>
      </w:r>
    </w:p>
    <w:p>
      <w:pPr>
        <w:pStyle w:val="Heading3"/>
      </w:pPr>
      <w:r>
        <w:t xml:space="preserve">5.2.2 Platform Fees</w:t>
      </w:r>
    </w:p>
    <w:p>
      <w:pPr>
        <w:pStyle w:val="ListParagraph"/>
        <w:numPr>
          <w:ilvl w:val="0"/>
          <w:numId w:val="2"/>
        </w:numPr>
        <w:spacing w:after="100"/>
      </w:pPr>
      <w:r>
        <w:rPr>
          <w:rFonts w:ascii="Arial" w:cs="Arial" w:eastAsia="Arial" w:hAnsi="Arial"/>
          <w:sz w:val="24"/>
          <w:szCs w:val="24"/>
        </w:rPr>
        <w:t xml:space="preserve">Platform fee: 1% of payment amount</w:t>
      </w:r>
    </w:p>
    <w:p>
      <w:pPr>
        <w:pStyle w:val="ListParagraph"/>
        <w:numPr>
          <w:ilvl w:val="0"/>
          <w:numId w:val="2"/>
        </w:numPr>
        <w:spacing w:after="100"/>
      </w:pPr>
      <w:r>
        <w:rPr>
          <w:rFonts w:ascii="Arial" w:cs="Arial" w:eastAsia="Arial" w:hAnsi="Arial"/>
          <w:sz w:val="24"/>
          <w:szCs w:val="24"/>
        </w:rPr>
        <w:t xml:space="preserve">Maximum platform fee capped at GHS 50 per transaction</w:t>
      </w:r>
    </w:p>
    <w:p>
      <w:pPr>
        <w:pStyle w:val="ListParagraph"/>
        <w:numPr>
          <w:ilvl w:val="0"/>
          <w:numId w:val="2"/>
        </w:numPr>
        <w:spacing w:after="200"/>
      </w:pPr>
      <w:r>
        <w:rPr>
          <w:rFonts w:ascii="Arial" w:cs="Arial" w:eastAsia="Arial" w:hAnsi="Arial"/>
          <w:sz w:val="24"/>
          <w:szCs w:val="24"/>
        </w:rPr>
        <w:t xml:space="preserve">Platform fee is deducted from landlord settlement (not added to tenant payment)</w:t>
      </w:r>
    </w:p>
    <w:p>
      <w:r>
        <w:br w:type="page"/>
      </w:r>
    </w:p>
    <w:p>
      <w:pPr>
        <w:pStyle w:val="Heading1"/>
      </w:pPr>
      <w:r>
        <w:t xml:space="preserve">6. Acceptance Criteria</w:t>
      </w:r>
    </w:p>
    <w:p>
      <w:pPr>
        <w:pStyle w:val="Heading2"/>
      </w:pPr>
      <w:r>
        <w:t xml:space="preserve">6.1 User Registration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31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Acceptance Criterion</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Priority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AC-REG-01</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User can register with email, phone, and password; OTP sent to phone within 30 seconds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AC-REG-02</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Ghana Card verification returns user details within 5 seconds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AC-REG-03</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Corporate users can add company registration details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AC-REG-04</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 rejects duplicate email or phone registrations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AC-REG-05</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Password must meet complexity requirements (8+ chars, mixed case, number)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Must Have</w:t>
            </w:r>
          </w:p>
        </w:tc>
      </w:tr>
    </w:tbl>
    <w:p>
      <w:pPr>
        <w:pStyle w:val="Heading2"/>
      </w:pPr>
      <w:r>
        <w:t xml:space="preserve">6.2 Property Registration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31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Acceptance Criterion</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Priority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AC-PROP-01</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Digital address validated against Ghana Post database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AC-PROP-02</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Photo upload supports JPEG, PNG formats up to 10MB each</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AC-PROP-03</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GPS coordinates captured from photo EXIF data or manual entry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Should Have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AC-PROP-04</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Ownership document upload supports PDF and image formats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AC-PROP-05</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Property code generated using format: REGION-DISTRICT-DIGITAL_ADDRESS-SEQ</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Must Have</w:t>
            </w:r>
          </w:p>
        </w:tc>
      </w:tr>
    </w:tbl>
    <w:p>
      <w:pPr>
        <w:pStyle w:val="Heading2"/>
      </w:pPr>
      <w:r>
        <w:t xml:space="preserve">6.3 Contract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31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Acceptance Criterion</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Priority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AC-CTR-01</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Advance payment months validated against property type limits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AC-CTR-02</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 deposit validated against 3-month maximum</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AC-CTR-03</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SMS sent to tenant within 60 seconds of contract creation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AC-CTR-04</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Tenant confirmation OTP valid for 7 days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AC-CTR-05</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Market rent comparison shown to tenant during confirmation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Should Have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AC-CTR-06</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Contract document generates PDF with QR code for verification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Should Have</w:t>
            </w:r>
          </w:p>
        </w:tc>
      </w:tr>
    </w:tbl>
    <w:p>
      <w:pPr>
        <w:pStyle w:val="Heading2"/>
      </w:pPr>
      <w:r>
        <w:t xml:space="preserve">6.4 Payment Processing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31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Acceptance Criterion</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Priority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AC-PAY-01</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Payment breakdown displays gross, tax, fee, and net amounts before confirmation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AC-PAY-02</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Mobile Money payments processed within 30 seconds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AC-PAY-03</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Digital receipt generated immediately upon successful payment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AC-PAY-04</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tenant and landlord receive SMS notification of payment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AC-PAY-05</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Failed payments include error message and retry option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Must Have</w:t>
            </w:r>
          </w:p>
        </w:tc>
      </w:tr>
    </w:tbl>
    <w:p>
      <w:pPr>
        <w:pStyle w:val="Heading2"/>
      </w:pPr>
      <w:r>
        <w:t xml:space="preserve">6.5 Tax Certificates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31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Acceptance Criterion</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Priority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AC-TAX-01</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Monthly certificates generated by 5th business day of following month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AC-TAX-02</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Certificate includes QR code that links to verification page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AC-TAX-03</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Third parties can verify certificate authenticity without login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AC-TAX-04</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Certificate PDF download available in under 3 seconds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Should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AC-TAX-05</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Annual summary certificate includes breakdown by property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Should Have</w:t>
            </w:r>
          </w:p>
        </w:tc>
      </w:tr>
    </w:tbl>
    <w:p>
      <w:r>
        <w:br w:type="page"/>
      </w:r>
    </w:p>
    <w:p>
      <w:pPr>
        <w:pStyle w:val="Heading1"/>
      </w:pPr>
      <w:r>
        <w:t xml:space="preserve">7. System Interfaces</w:t>
      </w:r>
    </w:p>
    <w:p>
      <w:pPr>
        <w:pStyle w:val="Heading2"/>
      </w:pPr>
      <w:r>
        <w:t xml:space="preserve">7.1 User Interfaces</w:t>
      </w:r>
    </w:p>
    <w:p>
      <w:pPr>
        <w:pStyle w:val="Heading3"/>
      </w:pPr>
      <w:r>
        <w:t xml:space="preserve">7.1.1 Web Portal</w:t>
      </w:r>
    </w:p>
    <w:p>
      <w:pPr>
        <w:spacing w:after="200"/>
      </w:pPr>
      <w:r>
        <w:rPr>
          <w:rFonts w:ascii="Arial" w:cs="Arial" w:eastAsia="Arial" w:hAnsi="Arial"/>
          <w:sz w:val="24"/>
          <w:szCs w:val="24"/>
        </w:rPr>
        <w:t xml:space="preserve">The primary interface for all users, optimized for desktop and mobile browsers. Responsive design ensures usability on devices from 320px to 2560px screen widths.</w:t>
      </w:r>
    </w:p>
    <w:p>
      <w:pPr>
        <w:pStyle w:val="ListParagraph"/>
        <w:numPr>
          <w:ilvl w:val="0"/>
          <w:numId w:val="2"/>
        </w:numPr>
        <w:spacing w:after="100"/>
      </w:pPr>
      <w:r>
        <w:rPr>
          <w:rFonts w:ascii="Arial" w:cs="Arial" w:eastAsia="Arial" w:hAnsi="Arial"/>
          <w:sz w:val="24"/>
          <w:szCs w:val="24"/>
        </w:rPr>
        <w:t xml:space="preserve">Public pages: Landing, Login, Register, Market Rent Checker, Certificate Verification</w:t>
      </w:r>
    </w:p>
    <w:p>
      <w:pPr>
        <w:pStyle w:val="ListParagraph"/>
        <w:numPr>
          <w:ilvl w:val="0"/>
          <w:numId w:val="2"/>
        </w:numPr>
        <w:spacing w:after="100"/>
      </w:pPr>
      <w:r>
        <w:rPr>
          <w:rFonts w:ascii="Arial" w:cs="Arial" w:eastAsia="Arial" w:hAnsi="Arial"/>
          <w:sz w:val="24"/>
          <w:szCs w:val="24"/>
        </w:rPr>
        <w:t xml:space="preserve">Landlord dashboard: Properties, Contracts, Payments, Tax Certificates, Messages</w:t>
      </w:r>
    </w:p>
    <w:p>
      <w:pPr>
        <w:pStyle w:val="ListParagraph"/>
        <w:numPr>
          <w:ilvl w:val="0"/>
          <w:numId w:val="2"/>
        </w:numPr>
        <w:spacing w:after="100"/>
      </w:pPr>
      <w:r>
        <w:rPr>
          <w:rFonts w:ascii="Arial" w:cs="Arial" w:eastAsia="Arial" w:hAnsi="Arial"/>
          <w:sz w:val="24"/>
          <w:szCs w:val="24"/>
        </w:rPr>
        <w:t xml:space="preserve">Tenant dashboard: Contracts, Payments, Disputes, Market Data, Messages</w:t>
      </w:r>
    </w:p>
    <w:p>
      <w:pPr>
        <w:pStyle w:val="ListParagraph"/>
        <w:numPr>
          <w:ilvl w:val="0"/>
          <w:numId w:val="2"/>
        </w:numPr>
        <w:spacing w:after="100"/>
      </w:pPr>
      <w:r>
        <w:rPr>
          <w:rFonts w:ascii="Arial" w:cs="Arial" w:eastAsia="Arial" w:hAnsi="Arial"/>
          <w:sz w:val="24"/>
          <w:szCs w:val="24"/>
        </w:rPr>
        <w:t xml:space="preserve">GRA dashboard: All contracts, Payments, Tax reports, Compliance analytics</w:t>
      </w:r>
    </w:p>
    <w:p>
      <w:pPr>
        <w:pStyle w:val="ListParagraph"/>
        <w:numPr>
          <w:ilvl w:val="0"/>
          <w:numId w:val="2"/>
        </w:numPr>
        <w:spacing w:after="200"/>
      </w:pPr>
      <w:r>
        <w:rPr>
          <w:rFonts w:ascii="Arial" w:cs="Arial" w:eastAsia="Arial" w:hAnsi="Arial"/>
          <w:sz w:val="24"/>
          <w:szCs w:val="24"/>
        </w:rPr>
        <w:t xml:space="preserve">Inspector dashboard: Case queue, Schedule, Evidence upload, Report submission</w:t>
      </w:r>
    </w:p>
    <w:p>
      <w:pPr>
        <w:pStyle w:val="Heading3"/>
      </w:pPr>
      <w:r>
        <w:t xml:space="preserve">7.1.2 USSD Interface</w:t>
      </w:r>
    </w:p>
    <w:p>
      <w:pPr>
        <w:spacing w:after="200"/>
      </w:pPr>
      <w:r>
        <w:rPr>
          <w:rFonts w:ascii="Arial" w:cs="Arial" w:eastAsia="Arial" w:hAnsi="Arial"/>
          <w:sz w:val="24"/>
          <w:szCs w:val="24"/>
        </w:rPr>
        <w:t xml:space="preserve">For users without smartphones, the system provides USSD access via *714#. Key functions available:</w:t>
      </w:r>
    </w:p>
    <w:p>
      <w:pPr>
        <w:pStyle w:val="ListParagraph"/>
        <w:numPr>
          <w:ilvl w:val="0"/>
          <w:numId w:val="2"/>
        </w:numPr>
        <w:spacing w:after="100"/>
      </w:pPr>
      <w:r>
        <w:rPr>
          <w:rFonts w:ascii="Arial" w:cs="Arial" w:eastAsia="Arial" w:hAnsi="Arial"/>
          <w:sz w:val="24"/>
          <w:szCs w:val="24"/>
        </w:rPr>
        <w:t xml:space="preserve">Make rent payment</w:t>
      </w:r>
    </w:p>
    <w:p>
      <w:pPr>
        <w:pStyle w:val="ListParagraph"/>
        <w:numPr>
          <w:ilvl w:val="0"/>
          <w:numId w:val="2"/>
        </w:numPr>
        <w:spacing w:after="100"/>
      </w:pPr>
      <w:r>
        <w:rPr>
          <w:rFonts w:ascii="Arial" w:cs="Arial" w:eastAsia="Arial" w:hAnsi="Arial"/>
          <w:sz w:val="24"/>
          <w:szCs w:val="24"/>
        </w:rPr>
        <w:t xml:space="preserve">Check payment balance/history</w:t>
      </w:r>
    </w:p>
    <w:p>
      <w:pPr>
        <w:pStyle w:val="ListParagraph"/>
        <w:numPr>
          <w:ilvl w:val="0"/>
          <w:numId w:val="2"/>
        </w:numPr>
        <w:spacing w:after="100"/>
      </w:pPr>
      <w:r>
        <w:rPr>
          <w:rFonts w:ascii="Arial" w:cs="Arial" w:eastAsia="Arial" w:hAnsi="Arial"/>
          <w:sz w:val="24"/>
          <w:szCs w:val="24"/>
        </w:rPr>
        <w:t xml:space="preserve">Register/confirm contracts</w:t>
      </w:r>
    </w:p>
    <w:p>
      <w:pPr>
        <w:pStyle w:val="ListParagraph"/>
        <w:numPr>
          <w:ilvl w:val="0"/>
          <w:numId w:val="2"/>
        </w:numPr>
        <w:spacing w:after="100"/>
      </w:pPr>
      <w:r>
        <w:rPr>
          <w:rFonts w:ascii="Arial" w:cs="Arial" w:eastAsia="Arial" w:hAnsi="Arial"/>
          <w:sz w:val="24"/>
          <w:szCs w:val="24"/>
        </w:rPr>
        <w:t xml:space="preserve">Report issues anonymously</w:t>
      </w:r>
    </w:p>
    <w:p>
      <w:pPr>
        <w:pStyle w:val="ListParagraph"/>
        <w:numPr>
          <w:ilvl w:val="0"/>
          <w:numId w:val="2"/>
        </w:numPr>
        <w:spacing w:after="200"/>
      </w:pPr>
      <w:r>
        <w:rPr>
          <w:rFonts w:ascii="Arial" w:cs="Arial" w:eastAsia="Arial" w:hAnsi="Arial"/>
          <w:sz w:val="24"/>
          <w:szCs w:val="24"/>
        </w:rPr>
        <w:t xml:space="preserve">Check market rent data</w:t>
      </w:r>
    </w:p>
    <w:p>
      <w:pPr>
        <w:pStyle w:val="Heading2"/>
      </w:pPr>
      <w:r>
        <w:t xml:space="preserve">7.2 External System Integrations</w:t>
      </w:r>
    </w:p>
    <w:p>
      <w:pPr>
        <w:pStyle w:val="ListParagraph"/>
        <w:numPr>
          <w:ilvl w:val="0"/>
          <w:numId w:val="2"/>
        </w:numPr>
        <w:spacing w:after="100"/>
      </w:pPr>
      <w:r>
        <w:rPr>
          <w:rFonts w:ascii="Arial" w:cs="Arial" w:eastAsia="Arial" w:hAnsi="Arial"/>
          <w:sz w:val="24"/>
          <w:szCs w:val="24"/>
        </w:rPr>
        <w:t xml:space="preserve">National Identification Authority (NIA): Ghana Card verification</w:t>
      </w:r>
    </w:p>
    <w:p>
      <w:pPr>
        <w:pStyle w:val="ListParagraph"/>
        <w:numPr>
          <w:ilvl w:val="0"/>
          <w:numId w:val="2"/>
        </w:numPr>
        <w:spacing w:after="100"/>
      </w:pPr>
      <w:r>
        <w:rPr>
          <w:rFonts w:ascii="Arial" w:cs="Arial" w:eastAsia="Arial" w:hAnsi="Arial"/>
          <w:sz w:val="24"/>
          <w:szCs w:val="24"/>
        </w:rPr>
        <w:t xml:space="preserve">Ghana Revenue Authority (GRA): TIN verification, tax reporting</w:t>
      </w:r>
    </w:p>
    <w:p>
      <w:pPr>
        <w:pStyle w:val="ListParagraph"/>
        <w:numPr>
          <w:ilvl w:val="0"/>
          <w:numId w:val="2"/>
        </w:numPr>
        <w:spacing w:after="100"/>
      </w:pPr>
      <w:r>
        <w:rPr>
          <w:rFonts w:ascii="Arial" w:cs="Arial" w:eastAsia="Arial" w:hAnsi="Arial"/>
          <w:sz w:val="24"/>
          <w:szCs w:val="24"/>
        </w:rPr>
        <w:t xml:space="preserve">Lands Commission: Property ownership verification</w:t>
      </w:r>
    </w:p>
    <w:p>
      <w:pPr>
        <w:pStyle w:val="ListParagraph"/>
        <w:numPr>
          <w:ilvl w:val="0"/>
          <w:numId w:val="2"/>
        </w:numPr>
        <w:spacing w:after="100"/>
      </w:pPr>
      <w:r>
        <w:rPr>
          <w:rFonts w:ascii="Arial" w:cs="Arial" w:eastAsia="Arial" w:hAnsi="Arial"/>
          <w:sz w:val="24"/>
          <w:szCs w:val="24"/>
        </w:rPr>
        <w:t xml:space="preserve">Ghana Post: Digital address validation</w:t>
      </w:r>
    </w:p>
    <w:p>
      <w:pPr>
        <w:pStyle w:val="ListParagraph"/>
        <w:numPr>
          <w:ilvl w:val="0"/>
          <w:numId w:val="2"/>
        </w:numPr>
        <w:spacing w:after="100"/>
      </w:pPr>
      <w:r>
        <w:rPr>
          <w:rFonts w:ascii="Arial" w:cs="Arial" w:eastAsia="Arial" w:hAnsi="Arial"/>
          <w:sz w:val="24"/>
          <w:szCs w:val="24"/>
        </w:rPr>
        <w:t xml:space="preserve">Mobile Money providers: MTN MoMo, Vodafone Cash, AirtelTigo Money</w:t>
      </w:r>
    </w:p>
    <w:p>
      <w:pPr>
        <w:pStyle w:val="ListParagraph"/>
        <w:numPr>
          <w:ilvl w:val="0"/>
          <w:numId w:val="2"/>
        </w:numPr>
        <w:spacing w:after="100"/>
      </w:pPr>
      <w:r>
        <w:rPr>
          <w:rFonts w:ascii="Arial" w:cs="Arial" w:eastAsia="Arial" w:hAnsi="Arial"/>
          <w:sz w:val="24"/>
          <w:szCs w:val="24"/>
        </w:rPr>
        <w:t xml:space="preserve">SMS Gateway: Transactional and notification messages</w:t>
      </w:r>
    </w:p>
    <w:p>
      <w:pPr>
        <w:pStyle w:val="ListParagraph"/>
        <w:numPr>
          <w:ilvl w:val="0"/>
          <w:numId w:val="2"/>
        </w:numPr>
        <w:spacing w:after="200"/>
      </w:pPr>
      <w:r>
        <w:rPr>
          <w:rFonts w:ascii="Arial" w:cs="Arial" w:eastAsia="Arial" w:hAnsi="Arial"/>
          <w:sz w:val="24"/>
          <w:szCs w:val="24"/>
        </w:rPr>
        <w:t xml:space="preserve">Utility Companies: ECG, Ghana Water - for consumption anomaly detection</w:t>
      </w:r>
    </w:p>
    <w:p>
      <w:r>
        <w:br w:type="page"/>
      </w:r>
    </w:p>
    <w:p>
      <w:pPr>
        <w:pStyle w:val="Heading1"/>
      </w:pPr>
      <w:r>
        <w:t xml:space="preserve">8. Pilot Program</w:t>
      </w:r>
    </w:p>
    <w:p>
      <w:pPr>
        <w:pStyle w:val="Heading2"/>
      </w:pPr>
      <w:r>
        <w:t xml:space="preserve">8.1 Pilot Scope</w:t>
      </w:r>
    </w:p>
    <w:p>
      <w:pPr>
        <w:spacing w:after="200"/>
      </w:pPr>
      <w:r>
        <w:rPr>
          <w:rFonts w:ascii="Arial" w:cs="Arial" w:eastAsia="Arial" w:hAnsi="Arial"/>
          <w:sz w:val="24"/>
          <w:szCs w:val="24"/>
        </w:rPr>
        <w:t xml:space="preserve">The initial pilot will be conducted in Greater Accra Region, specifically targeting Accra Metropolitan and Tema Metropolitan districts. The pilot will run for 6 months with the following targets:</w:t>
      </w:r>
    </w:p>
    <w:p>
      <w:pPr>
        <w:pStyle w:val="ListParagraph"/>
        <w:numPr>
          <w:ilvl w:val="0"/>
          <w:numId w:val="2"/>
        </w:numPr>
        <w:spacing w:after="100"/>
      </w:pPr>
      <w:r>
        <w:rPr>
          <w:rFonts w:ascii="Arial" w:cs="Arial" w:eastAsia="Arial" w:hAnsi="Arial"/>
          <w:sz w:val="24"/>
          <w:szCs w:val="24"/>
        </w:rPr>
        <w:t xml:space="preserve">1,000 landlords registered</w:t>
      </w:r>
    </w:p>
    <w:p>
      <w:pPr>
        <w:pStyle w:val="ListParagraph"/>
        <w:numPr>
          <w:ilvl w:val="0"/>
          <w:numId w:val="2"/>
        </w:numPr>
        <w:spacing w:after="100"/>
      </w:pPr>
      <w:r>
        <w:rPr>
          <w:rFonts w:ascii="Arial" w:cs="Arial" w:eastAsia="Arial" w:hAnsi="Arial"/>
          <w:sz w:val="24"/>
          <w:szCs w:val="24"/>
        </w:rPr>
        <w:t xml:space="preserve">3,000 properties registered</w:t>
      </w:r>
    </w:p>
    <w:p>
      <w:pPr>
        <w:pStyle w:val="ListParagraph"/>
        <w:numPr>
          <w:ilvl w:val="0"/>
          <w:numId w:val="2"/>
        </w:numPr>
        <w:spacing w:after="100"/>
      </w:pPr>
      <w:r>
        <w:rPr>
          <w:rFonts w:ascii="Arial" w:cs="Arial" w:eastAsia="Arial" w:hAnsi="Arial"/>
          <w:sz w:val="24"/>
          <w:szCs w:val="24"/>
        </w:rPr>
        <w:t xml:space="preserve">5,000 contracts registered</w:t>
      </w:r>
    </w:p>
    <w:p>
      <w:pPr>
        <w:pStyle w:val="ListParagraph"/>
        <w:numPr>
          <w:ilvl w:val="0"/>
          <w:numId w:val="2"/>
        </w:numPr>
        <w:spacing w:after="200"/>
      </w:pPr>
      <w:r>
        <w:rPr>
          <w:rFonts w:ascii="Arial" w:cs="Arial" w:eastAsia="Arial" w:hAnsi="Arial"/>
          <w:sz w:val="24"/>
          <w:szCs w:val="24"/>
        </w:rPr>
        <w:t xml:space="preserve">GHS 10 million in rent payments processed</w:t>
      </w:r>
    </w:p>
    <w:p>
      <w:pPr>
        <w:pStyle w:val="Heading2"/>
      </w:pPr>
      <w:r>
        <w:t xml:space="preserve">8.2 Success Criteria</w:t>
      </w:r>
    </w:p>
    <w:p>
      <w:pPr>
        <w:pStyle w:val="ListParagraph"/>
        <w:numPr>
          <w:ilvl w:val="0"/>
          <w:numId w:val="2"/>
        </w:numPr>
        <w:spacing w:after="100"/>
      </w:pPr>
      <w:r>
        <w:rPr>
          <w:rFonts w:ascii="Arial" w:cs="Arial" w:eastAsia="Arial" w:hAnsi="Arial"/>
          <w:sz w:val="24"/>
          <w:szCs w:val="24"/>
        </w:rPr>
        <w:t xml:space="preserve">System uptime: 99.5% availability during pilot</w:t>
      </w:r>
    </w:p>
    <w:p>
      <w:pPr>
        <w:pStyle w:val="ListParagraph"/>
        <w:numPr>
          <w:ilvl w:val="0"/>
          <w:numId w:val="2"/>
        </w:numPr>
        <w:spacing w:after="100"/>
      </w:pPr>
      <w:r>
        <w:rPr>
          <w:rFonts w:ascii="Arial" w:cs="Arial" w:eastAsia="Arial" w:hAnsi="Arial"/>
          <w:sz w:val="24"/>
          <w:szCs w:val="24"/>
        </w:rPr>
        <w:t xml:space="preserve">User satisfaction: 80%+ positive feedback score</w:t>
      </w:r>
    </w:p>
    <w:p>
      <w:pPr>
        <w:pStyle w:val="ListParagraph"/>
        <w:numPr>
          <w:ilvl w:val="0"/>
          <w:numId w:val="2"/>
        </w:numPr>
        <w:spacing w:after="100"/>
      </w:pPr>
      <w:r>
        <w:rPr>
          <w:rFonts w:ascii="Arial" w:cs="Arial" w:eastAsia="Arial" w:hAnsi="Arial"/>
          <w:sz w:val="24"/>
          <w:szCs w:val="24"/>
        </w:rPr>
        <w:t xml:space="preserve">Payment success rate: 95%+ successful transactions</w:t>
      </w:r>
    </w:p>
    <w:p>
      <w:pPr>
        <w:pStyle w:val="ListParagraph"/>
        <w:numPr>
          <w:ilvl w:val="0"/>
          <w:numId w:val="2"/>
        </w:numPr>
        <w:spacing w:after="100"/>
      </w:pPr>
      <w:r>
        <w:rPr>
          <w:rFonts w:ascii="Arial" w:cs="Arial" w:eastAsia="Arial" w:hAnsi="Arial"/>
          <w:sz w:val="24"/>
          <w:szCs w:val="24"/>
        </w:rPr>
        <w:t xml:space="preserve">Contract confirmation rate: 85%+ tenant confirmations within 7 days</w:t>
      </w:r>
    </w:p>
    <w:p>
      <w:pPr>
        <w:pStyle w:val="ListParagraph"/>
        <w:numPr>
          <w:ilvl w:val="0"/>
          <w:numId w:val="2"/>
        </w:numPr>
        <w:spacing w:after="200"/>
      </w:pPr>
      <w:r>
        <w:rPr>
          <w:rFonts w:ascii="Arial" w:cs="Arial" w:eastAsia="Arial" w:hAnsi="Arial"/>
          <w:sz w:val="24"/>
          <w:szCs w:val="24"/>
        </w:rPr>
        <w:t xml:space="preserve">Tax collection: Meet or exceed projected tax revenue targets</w:t>
      </w:r>
    </w:p>
    <w:p>
      <w:r>
        <w:br w:type="page"/>
      </w:r>
    </w:p>
    <w:p>
      <w:pPr>
        <w:pStyle w:val="Heading1"/>
      </w:pPr>
      <w:r>
        <w:t xml:space="preserve">9. Appendices</w:t>
      </w:r>
    </w:p>
    <w:p>
      <w:pPr>
        <w:pStyle w:val="Heading2"/>
      </w:pPr>
      <w:r>
        <w:t xml:space="preserve">9.1 Glossary</w:t>
      </w:r>
    </w:p>
    <w:p>
      <w:pPr>
        <w:spacing w:after="200"/>
      </w:pPr>
      <w:r>
        <w:rPr>
          <w:rFonts w:ascii="Arial" w:cs="Arial" w:eastAsia="Arial" w:hAnsi="Arial"/>
          <w:b/>
          <w:bCs/>
          <w:sz w:val="24"/>
          <w:szCs w:val="24"/>
        </w:rPr>
        <w:t xml:space="preserve">Digital Address: </w:t>
      </w:r>
      <w:r>
        <w:rPr>
          <w:rFonts w:ascii="Arial" w:cs="Arial" w:eastAsia="Arial" w:hAnsi="Arial"/>
          <w:sz w:val="24"/>
          <w:szCs w:val="24"/>
        </w:rPr>
        <w:t xml:space="preserve">Ghana Post GPS digital addressing system location code.</w:t>
      </w:r>
    </w:p>
    <w:p>
      <w:pPr>
        <w:spacing w:after="200"/>
      </w:pPr>
      <w:r>
        <w:rPr>
          <w:rFonts w:ascii="Arial" w:cs="Arial" w:eastAsia="Arial" w:hAnsi="Arial"/>
          <w:b/>
          <w:bCs/>
          <w:sz w:val="24"/>
          <w:szCs w:val="24"/>
        </w:rPr>
        <w:t xml:space="preserve">GHS: </w:t>
      </w:r>
      <w:r>
        <w:rPr>
          <w:rFonts w:ascii="Arial" w:cs="Arial" w:eastAsia="Arial" w:hAnsi="Arial"/>
          <w:sz w:val="24"/>
          <w:szCs w:val="24"/>
        </w:rPr>
        <w:t xml:space="preserve">Ghanaian Cedi, the national currency.</w:t>
      </w:r>
    </w:p>
    <w:p>
      <w:pPr>
        <w:spacing w:after="200"/>
      </w:pPr>
      <w:r>
        <w:rPr>
          <w:rFonts w:ascii="Arial" w:cs="Arial" w:eastAsia="Arial" w:hAnsi="Arial"/>
          <w:b/>
          <w:bCs/>
          <w:sz w:val="24"/>
          <w:szCs w:val="24"/>
        </w:rPr>
        <w:t xml:space="preserve">GRA: </w:t>
      </w:r>
      <w:r>
        <w:rPr>
          <w:rFonts w:ascii="Arial" w:cs="Arial" w:eastAsia="Arial" w:hAnsi="Arial"/>
          <w:sz w:val="24"/>
          <w:szCs w:val="24"/>
        </w:rPr>
        <w:t xml:space="preserve">Ghana Revenue Authority, responsible for tax collection.</w:t>
      </w:r>
    </w:p>
    <w:p>
      <w:pPr>
        <w:spacing w:after="200"/>
      </w:pPr>
      <w:r>
        <w:rPr>
          <w:rFonts w:ascii="Arial" w:cs="Arial" w:eastAsia="Arial" w:hAnsi="Arial"/>
          <w:b/>
          <w:bCs/>
          <w:sz w:val="24"/>
          <w:szCs w:val="24"/>
        </w:rPr>
        <w:t xml:space="preserve">NIA: </w:t>
      </w:r>
      <w:r>
        <w:rPr>
          <w:rFonts w:ascii="Arial" w:cs="Arial" w:eastAsia="Arial" w:hAnsi="Arial"/>
          <w:sz w:val="24"/>
          <w:szCs w:val="24"/>
        </w:rPr>
        <w:t xml:space="preserve">National Identification Authority, issuer of Ghana Card.</w:t>
      </w:r>
    </w:p>
    <w:p>
      <w:pPr>
        <w:spacing w:after="200"/>
      </w:pPr>
      <w:r>
        <w:rPr>
          <w:rFonts w:ascii="Arial" w:cs="Arial" w:eastAsia="Arial" w:hAnsi="Arial"/>
          <w:b/>
          <w:bCs/>
          <w:sz w:val="24"/>
          <w:szCs w:val="24"/>
        </w:rPr>
        <w:t xml:space="preserve">OTP: </w:t>
      </w:r>
      <w:r>
        <w:rPr>
          <w:rFonts w:ascii="Arial" w:cs="Arial" w:eastAsia="Arial" w:hAnsi="Arial"/>
          <w:sz w:val="24"/>
          <w:szCs w:val="24"/>
        </w:rPr>
        <w:t xml:space="preserve">One-Time Password for verification.</w:t>
      </w:r>
    </w:p>
    <w:p>
      <w:pPr>
        <w:spacing w:after="200"/>
      </w:pPr>
      <w:r>
        <w:rPr>
          <w:rFonts w:ascii="Arial" w:cs="Arial" w:eastAsia="Arial" w:hAnsi="Arial"/>
          <w:b/>
          <w:bCs/>
          <w:sz w:val="24"/>
          <w:szCs w:val="24"/>
        </w:rPr>
        <w:t xml:space="preserve">TIN: </w:t>
      </w:r>
      <w:r>
        <w:rPr>
          <w:rFonts w:ascii="Arial" w:cs="Arial" w:eastAsia="Arial" w:hAnsi="Arial"/>
          <w:sz w:val="24"/>
          <w:szCs w:val="24"/>
        </w:rPr>
        <w:t xml:space="preserve">Taxpayer Identification Number issued by GRA.</w:t>
      </w:r>
    </w:p>
    <w:p>
      <w:pPr>
        <w:spacing w:after="200"/>
      </w:pPr>
      <w:r>
        <w:rPr>
          <w:rFonts w:ascii="Arial" w:cs="Arial" w:eastAsia="Arial" w:hAnsi="Arial"/>
          <w:b/>
          <w:bCs/>
          <w:sz w:val="24"/>
          <w:szCs w:val="24"/>
        </w:rPr>
        <w:t xml:space="preserve">USSD: </w:t>
      </w:r>
      <w:r>
        <w:rPr>
          <w:rFonts w:ascii="Arial" w:cs="Arial" w:eastAsia="Arial" w:hAnsi="Arial"/>
          <w:sz w:val="24"/>
          <w:szCs w:val="24"/>
        </w:rPr>
        <w:t xml:space="preserve">Unstructured Supplementary Service Data, for feature phone access.</w:t>
      </w:r>
    </w:p>
    <w:p>
      <w:pPr>
        <w:pStyle w:val="Heading2"/>
      </w:pPr>
      <w:r>
        <w:t xml:space="preserve">9.2 Document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000"/>
        <w:gridCol w:w="18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Version</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Date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Author</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Changes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January 2025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System Design Team</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Initial release</w:t>
            </w:r>
          </w:p>
        </w:tc>
      </w:tr>
    </w:tbl>
    <w:p>
      <w:pPr>
        <w:spacing w:after="400"/>
      </w:pPr>
    </w:p>
    <w:p>
      <w:pPr>
        <w:pStyle w:val="Heading2"/>
      </w:pPr>
      <w:r>
        <w:t xml:space="preserve">9.3 References</w:t>
      </w:r>
    </w:p>
    <w:p>
      <w:pPr>
        <w:pStyle w:val="ListParagraph"/>
        <w:numPr>
          <w:ilvl w:val="0"/>
          <w:numId w:val="3"/>
        </w:numPr>
        <w:spacing w:after="100"/>
      </w:pPr>
      <w:r>
        <w:rPr>
          <w:rFonts w:ascii="Arial" w:cs="Arial" w:eastAsia="Arial" w:hAnsi="Arial"/>
          <w:sz w:val="24"/>
          <w:szCs w:val="24"/>
        </w:rPr>
        <w:t xml:space="preserve">Ghana Rent Act, 2020</w:t>
      </w:r>
    </w:p>
    <w:p>
      <w:pPr>
        <w:pStyle w:val="ListParagraph"/>
        <w:numPr>
          <w:ilvl w:val="0"/>
          <w:numId w:val="3"/>
        </w:numPr>
        <w:spacing w:after="100"/>
      </w:pPr>
      <w:r>
        <w:rPr>
          <w:rFonts w:ascii="Arial" w:cs="Arial" w:eastAsia="Arial" w:hAnsi="Arial"/>
          <w:sz w:val="24"/>
          <w:szCs w:val="24"/>
        </w:rPr>
        <w:t xml:space="preserve">Ghana Revenue Authority Act, 2009 (Act 791)</w:t>
      </w:r>
    </w:p>
    <w:p>
      <w:pPr>
        <w:pStyle w:val="ListParagraph"/>
        <w:numPr>
          <w:ilvl w:val="0"/>
          <w:numId w:val="3"/>
        </w:numPr>
        <w:spacing w:after="100"/>
      </w:pPr>
      <w:r>
        <w:rPr>
          <w:rFonts w:ascii="Arial" w:cs="Arial" w:eastAsia="Arial" w:hAnsi="Arial"/>
          <w:sz w:val="24"/>
          <w:szCs w:val="24"/>
        </w:rPr>
        <w:t xml:space="preserve">Income Tax Act, 2015 (Act 896)</w:t>
      </w:r>
    </w:p>
    <w:p>
      <w:pPr>
        <w:pStyle w:val="ListParagraph"/>
        <w:numPr>
          <w:ilvl w:val="0"/>
          <w:numId w:val="3"/>
        </w:numPr>
        <w:spacing w:after="100"/>
      </w:pPr>
      <w:r>
        <w:rPr>
          <w:rFonts w:ascii="Arial" w:cs="Arial" w:eastAsia="Arial" w:hAnsi="Arial"/>
          <w:sz w:val="24"/>
          <w:szCs w:val="24"/>
        </w:rPr>
        <w:t xml:space="preserve">National Identification Authority Act, 2006 (Act 707)</w:t>
      </w:r>
    </w:p>
    <w:p>
      <w:pPr>
        <w:pStyle w:val="ListParagraph"/>
        <w:numPr>
          <w:ilvl w:val="0"/>
          <w:numId w:val="3"/>
        </w:numPr>
        <w:spacing w:after="200"/>
      </w:pPr>
      <w:r>
        <w:rPr>
          <w:rFonts w:ascii="Arial" w:cs="Arial" w:eastAsia="Arial" w:hAnsi="Arial"/>
          <w:sz w:val="24"/>
          <w:szCs w:val="24"/>
        </w:rPr>
        <w:t xml:space="preserve">GRMTS Technical Specification Document v1.0</w:t>
      </w:r>
    </w:p>
    <w:p>
      <w:pPr>
        <w:spacing w:after="1000"/>
      </w:pPr>
    </w:p>
    <w:p>
      <w:pPr>
        <w:pBdr>
          <w:top w:val="single" w:color="CCCCCC" w:sz="1"/>
        </w:pBdr>
        <w:jc w:val="center"/>
      </w:pPr>
      <w:r>
        <w:rPr>
          <w:rFonts w:ascii="Arial" w:cs="Arial" w:eastAsia="Arial" w:hAnsi="Arial"/>
          <w:color w:val="666666"/>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Ghana Rental Market Taxation System - Functional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2026-01-29T12:15:21.385Z</dcterms:created>
  <dcterms:modified xsi:type="dcterms:W3CDTF">2026-01-29T12:15:21.385Z</dcterms:modified>
</cp:coreProperties>
</file>

<file path=docProps/custom.xml><?xml version="1.0" encoding="utf-8"?>
<Properties xmlns="http://schemas.openxmlformats.org/officeDocument/2006/custom-properties" xmlns:vt="http://schemas.openxmlformats.org/officeDocument/2006/docPropsVTypes"/>
</file>