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SUBTITLEBOOM</w:t>
      </w:r>
    </w:p>
    <w:p>
      <w:pPr>
        <w:jc w:val="center"/>
      </w:pPr>
      <w:r>
        <w:rPr>
          <w:b/>
          <w:sz w:val="40"/>
        </w:rPr>
        <w:t>User Guide</w:t>
      </w:r>
    </w:p>
    <w:p>
      <w:pPr>
        <w:jc w:val="center"/>
      </w:pPr>
      <w:r>
        <w:rPr>
          <w:sz w:val="24"/>
        </w:rPr>
        <w:t>Version 1.0 — First Public Release</w:t>
      </w:r>
    </w:p>
    <w:p>
      <w:pPr>
        <w:jc w:val="center"/>
      </w:pPr>
      <w:r>
        <w:rPr>
          <w:i/>
        </w:rPr>
        <w:t>Offline subtitle alignment, transcription, translation and editing for video and audio.</w:t>
      </w:r>
    </w:p>
    <w:p>
      <w:pPr>
        <w:pStyle w:val="Heading1"/>
      </w:pPr>
      <w:r>
        <w:t>1. Getting started</w:t>
      </w:r>
    </w:p>
    <w:p>
      <w:pPr>
        <w:pStyle w:val="ListNumber"/>
        <w:ind w:left="720" w:hanging="360"/>
      </w:pPr>
      <w:r>
        <w:t>Select the video or audio file.</w:t>
      </w:r>
    </w:p>
    <w:p>
      <w:pPr>
        <w:pStyle w:val="ListNumber"/>
        <w:ind w:left="720" w:hanging="360"/>
      </w:pPr>
      <w:r>
        <w:t>For alignment, select the matching TXT or subtitle file. For transcription, no text input is required.</w:t>
      </w:r>
    </w:p>
    <w:p>
      <w:pPr>
        <w:pStyle w:val="ListNumber"/>
        <w:ind w:left="720" w:hanging="360"/>
      </w:pPr>
      <w:r>
        <w:t>Choose the spoken language and Whisper model.</w:t>
      </w:r>
    </w:p>
    <w:p>
      <w:pPr>
        <w:pStyle w:val="ListNumber"/>
        <w:ind w:left="720" w:hanging="360"/>
      </w:pPr>
      <w:r>
        <w:t>Choose the output SRT and start the requested operation.</w:t>
      </w:r>
    </w:p>
    <w:p>
      <w:pPr>
        <w:pStyle w:val="ListNumber"/>
        <w:ind w:left="720" w:hanging="360"/>
      </w:pPr>
      <w:r>
        <w:t>Review results in the editor and save the corrected SRT.</w:t>
      </w:r>
    </w:p>
    <w:p>
      <w:r>
        <w:t>SubtitleBoom v1.0 is the first public release under this name and is based on the Subtitle Aligner v4.1.1 development line. Existing projects remain compatible.</w:t>
      </w:r>
    </w:p>
    <w:p>
      <w:pPr>
        <w:pStyle w:val="Heading1"/>
      </w:pPr>
      <w:r>
        <w:t>2. Project organization</w:t>
      </w:r>
    </w:p>
    <w:p>
      <w:r>
        <w:t>Keep media, source text and final subtitles together. Internal data remains in SubtitleAligner_Data beside the project.</w:t>
      </w:r>
    </w:p>
    <w:tbl>
      <w:tblPr>
        <w:tblStyle w:val="TableGrid"/>
        <w:tblW w:type="auto" w:w="0"/>
        <w:jc w:val="center"/>
        <w:tblLayout w:type="fixed"/>
        <w:tblLook w:firstColumn="1" w:firstRow="1" w:lastColumn="0" w:lastRow="0" w:noHBand="0" w:noVBand="1" w:val="04A0"/>
      </w:tblPr>
      <w:tblGrid>
        <w:gridCol w:w="4680"/>
        <w:gridCol w:w="4680"/>
      </w:tblGrid>
      <w:tr>
        <w:tc>
          <w:tcPr>
            <w:tcW w:type="dxa" w:w="2016"/>
            <w:vAlign w:val="center"/>
            <w:shd w:fill="D9EAF7"/>
          </w:tcPr>
          <w:p>
            <w:r>
              <w:rPr>
                <w:b/>
              </w:rPr>
              <w:t>Folder</w:t>
            </w:r>
          </w:p>
        </w:tc>
        <w:tc>
          <w:tcPr>
            <w:tcW w:type="dxa" w:w="7344"/>
            <w:vAlign w:val="center"/>
            <w:shd w:fill="D9EAF7"/>
          </w:tcPr>
          <w:p>
            <w:r>
              <w:rPr>
                <w:b/>
              </w:rPr>
              <w:t>Purpose</w:t>
            </w:r>
          </w:p>
        </w:tc>
      </w:tr>
      <w:tr>
        <w:tc>
          <w:tcPr>
            <w:tcW w:type="dxa" w:w="2016"/>
            <w:vAlign w:val="center"/>
          </w:tcPr>
          <w:p>
            <w:r>
              <w:t>Cache</w:t>
            </w:r>
          </w:p>
        </w:tc>
        <w:tc>
          <w:tcPr>
            <w:tcW w:type="dxa" w:w="7344"/>
            <w:vAlign w:val="center"/>
          </w:tcPr>
          <w:p>
            <w:r>
              <w:t>Whisper words and timestamps for fast reopening.</w:t>
            </w:r>
          </w:p>
        </w:tc>
      </w:tr>
      <w:tr>
        <w:tc>
          <w:tcPr>
            <w:tcW w:type="dxa" w:w="2016"/>
            <w:vAlign w:val="center"/>
          </w:tcPr>
          <w:p>
            <w:r>
              <w:t>Project</w:t>
            </w:r>
          </w:p>
        </w:tc>
        <w:tc>
          <w:tcPr>
            <w:tcW w:type="dxa" w:w="7344"/>
            <w:vAlign w:val="center"/>
          </w:tcPr>
          <w:p>
            <w:r>
              <w:t>Complete editor state, detected speech, status and manual changes.</w:t>
            </w:r>
          </w:p>
        </w:tc>
      </w:tr>
      <w:tr>
        <w:tc>
          <w:tcPr>
            <w:tcW w:type="dxa" w:w="2016"/>
            <w:vAlign w:val="center"/>
          </w:tcPr>
          <w:p>
            <w:r>
              <w:t>Reports</w:t>
            </w:r>
          </w:p>
        </w:tc>
        <w:tc>
          <w:tcPr>
            <w:tcW w:type="dxa" w:w="7344"/>
            <w:vAlign w:val="center"/>
          </w:tcPr>
          <w:p>
            <w:r>
              <w:t>Review and performance reports.</w:t>
            </w:r>
          </w:p>
        </w:tc>
      </w:tr>
      <w:tr>
        <w:tc>
          <w:tcPr>
            <w:tcW w:type="dxa" w:w="2016"/>
            <w:vAlign w:val="center"/>
          </w:tcPr>
          <w:p>
            <w:r>
              <w:t>Segments</w:t>
            </w:r>
          </w:p>
        </w:tc>
        <w:tc>
          <w:tcPr>
            <w:tcW w:type="dxa" w:w="7344"/>
            <w:vAlign w:val="center"/>
          </w:tcPr>
          <w:p>
            <w:r>
              <w:t>Completed chunks of long Whisper jobs.</w:t>
            </w:r>
          </w:p>
        </w:tc>
      </w:tr>
    </w:tbl>
    <w:p>
      <w:pPr>
        <w:pStyle w:val="Heading1"/>
      </w:pPr>
      <w:r>
        <w:t>3. Main workflows</w:t>
      </w:r>
    </w:p>
    <w:p>
      <w:pPr>
        <w:pStyle w:val="Heading2"/>
      </w:pPr>
      <w:r>
        <w:t>Alignment</w:t>
      </w:r>
    </w:p>
    <w:p>
      <w:r>
        <w:t>Alignment matches existing text or subtitles to speech. Tiny is fast and recommended for this task. Smart Cache makes later openings much faster.</w:t>
      </w:r>
    </w:p>
    <w:p>
      <w:pPr>
        <w:pStyle w:val="Heading2"/>
      </w:pPr>
      <w:r>
        <w:t>Transcription</w:t>
      </w:r>
    </w:p>
    <w:p>
      <w:r>
        <w:t>Video or audio can be converted directly to SRT and plain TXT. Optional timed TXT is available. Words are kept whole, Whisper punctuation is preserved, and cues target no more than two lines of approximately 44 characters each.</w:t>
      </w:r>
    </w:p>
    <w:p>
      <w:pPr>
        <w:pStyle w:val="Heading2"/>
      </w:pPr>
      <w:r>
        <w:t>Translation</w:t>
      </w:r>
    </w:p>
    <w:p>
      <w:r>
        <w:t>Whisper's built-in Translate task creates English SRT and TXT from supported spoken languages. Translation to another target language requires a separate translation model or service.</w:t>
      </w:r>
    </w:p>
    <w:p>
      <w:pPr>
        <w:pStyle w:val="Heading1"/>
      </w:pPr>
      <w:r>
        <w:t>4. Responsive editor</w:t>
      </w:r>
    </w:p>
    <w:p>
      <w:pPr>
        <w:pStyle w:val="ListBullet"/>
        <w:ind w:left="720" w:hanging="360"/>
      </w:pPr>
      <w:r>
        <w:t>Media preview at the top, with the active subtitle near the bottom.</w:t>
      </w:r>
    </w:p>
    <w:p>
      <w:pPr>
        <w:pStyle w:val="ListBullet"/>
        <w:ind w:left="720" w:hanging="360"/>
      </w:pPr>
      <w:r>
        <w:t>Waveform directly below the player.</w:t>
      </w:r>
    </w:p>
    <w:p>
      <w:pPr>
        <w:pStyle w:val="ListBullet"/>
        <w:ind w:left="720" w:hanging="360"/>
      </w:pPr>
      <w:r>
        <w:t>Timing, detected speech, text, status and primary commands remain accessible.</w:t>
      </w:r>
    </w:p>
    <w:p>
      <w:pPr>
        <w:pStyle w:val="ListBullet"/>
        <w:ind w:left="720" w:hanging="360"/>
      </w:pPr>
      <w:r>
        <w:t>The subtitle table and lower-right editor panel scroll independently.</w:t>
      </w:r>
    </w:p>
    <w:p>
      <w:pPr>
        <w:pStyle w:val="ListBullet"/>
        <w:ind w:left="720" w:hanging="360"/>
      </w:pPr>
      <w:r>
        <w:t>Changes are saved automatically and support Undo/Redo.</w:t>
      </w:r>
    </w:p>
    <w:p>
      <w:pPr>
        <w:pStyle w:val="Heading1"/>
      </w:pPr>
      <w:r>
        <w:t>5. Waveform editing</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vAlign w:val="center"/>
            <w:shd w:fill="D9EAF7"/>
          </w:tcPr>
          <w:p>
            <w:r>
              <w:rPr>
                <w:b/>
              </w:rPr>
              <w:t>Visual</w:t>
            </w:r>
          </w:p>
        </w:tc>
        <w:tc>
          <w:tcPr>
            <w:tcW w:type="dxa" w:w="7200"/>
            <w:vAlign w:val="center"/>
            <w:shd w:fill="D9EAF7"/>
          </w:tcPr>
          <w:p>
            <w:r>
              <w:rPr>
                <w:b/>
              </w:rPr>
              <w:t>Meaning / action</w:t>
            </w:r>
          </w:p>
        </w:tc>
      </w:tr>
      <w:tr>
        <w:tc>
          <w:tcPr>
            <w:tcW w:type="dxa" w:w="2160"/>
            <w:vAlign w:val="center"/>
          </w:tcPr>
          <w:p>
            <w:r>
              <w:t>Gray block</w:t>
            </w:r>
          </w:p>
        </w:tc>
        <w:tc>
          <w:tcPr>
            <w:tcW w:type="dxa" w:w="7200"/>
            <w:vAlign w:val="center"/>
          </w:tcPr>
          <w:p>
            <w:r>
              <w:t>Previous or next cue; click or drag to select and edit.</w:t>
            </w:r>
          </w:p>
        </w:tc>
      </w:tr>
      <w:tr>
        <w:tc>
          <w:tcPr>
            <w:tcW w:type="dxa" w:w="2160"/>
            <w:vAlign w:val="center"/>
          </w:tcPr>
          <w:p>
            <w:r>
              <w:t>Blue block</w:t>
            </w:r>
          </w:p>
        </w:tc>
        <w:tc>
          <w:tcPr>
            <w:tcW w:type="dxa" w:w="7200"/>
            <w:vAlign w:val="center"/>
          </w:tcPr>
          <w:p>
            <w:r>
              <w:t>Selected cue; drag center to move it.</w:t>
            </w:r>
          </w:p>
        </w:tc>
      </w:tr>
      <w:tr>
        <w:tc>
          <w:tcPr>
            <w:tcW w:type="dxa" w:w="2160"/>
            <w:vAlign w:val="center"/>
          </w:tcPr>
          <w:p>
            <w:r>
              <w:t>Blue edges</w:t>
            </w:r>
          </w:p>
        </w:tc>
        <w:tc>
          <w:tcPr>
            <w:tcW w:type="dxa" w:w="7200"/>
            <w:vAlign w:val="center"/>
          </w:tcPr>
          <w:p>
            <w:r>
              <w:t>Drag to change cue start or end.</w:t>
            </w:r>
          </w:p>
        </w:tc>
      </w:tr>
      <w:tr>
        <w:tc>
          <w:tcPr>
            <w:tcW w:type="dxa" w:w="2160"/>
            <w:vAlign w:val="center"/>
          </w:tcPr>
          <w:p>
            <w:r>
              <w:t>Green block</w:t>
            </w:r>
          </w:p>
        </w:tc>
        <w:tc>
          <w:tcPr>
            <w:tcW w:type="dxa" w:w="7200"/>
            <w:vAlign w:val="center"/>
          </w:tcPr>
          <w:p>
            <w:r>
              <w:t>Detected speech.</w:t>
            </w:r>
          </w:p>
        </w:tc>
      </w:tr>
      <w:tr>
        <w:tc>
          <w:tcPr>
            <w:tcW w:type="dxa" w:w="2160"/>
            <w:vAlign w:val="center"/>
          </w:tcPr>
          <w:p>
            <w:r>
              <w:t>Red line</w:t>
            </w:r>
          </w:p>
        </w:tc>
        <w:tc>
          <w:tcPr>
            <w:tcW w:type="dxa" w:w="7200"/>
            <w:vAlign w:val="center"/>
          </w:tcPr>
          <w:p>
            <w:r>
              <w:t>Current playback position.</w:t>
            </w:r>
          </w:p>
        </w:tc>
      </w:tr>
    </w:tbl>
    <w:p>
      <w:r>
        <w:t>Snap attaches nearby edges to detected speech. Hold Shift while dragging to bypass snap. Overlap protection prevents crossing neighboring cues by default; when disabled, overlaps are highlighted and confirmed with a warning.</w:t>
      </w:r>
    </w:p>
    <w:p>
      <w:pPr>
        <w:pStyle w:val="Heading1"/>
      </w:pPr>
      <w:r>
        <w:t>6. Text and structural tools</w:t>
      </w:r>
    </w:p>
    <w:p>
      <w:pPr>
        <w:pStyle w:val="ListBullet"/>
        <w:ind w:left="720" w:hanging="360"/>
      </w:pPr>
      <w:r>
        <w:t>WRAP LINES: up to two balanced lines of 44 characters.</w:t>
      </w:r>
    </w:p>
    <w:p>
      <w:pPr>
        <w:pStyle w:val="ListBullet"/>
        <w:ind w:left="720" w:hanging="360"/>
      </w:pPr>
      <w:r>
        <w:t>SPLIT: divide at the text cursor.</w:t>
      </w:r>
    </w:p>
    <w:p>
      <w:pPr>
        <w:pStyle w:val="ListBullet"/>
        <w:ind w:left="720" w:hanging="360"/>
      </w:pPr>
      <w:r>
        <w:t>SMART SPLIT: choose a natural punctuation or balance point.</w:t>
      </w:r>
    </w:p>
    <w:p>
      <w:pPr>
        <w:pStyle w:val="ListBullet"/>
        <w:ind w:left="720" w:hanging="360"/>
      </w:pPr>
      <w:r>
        <w:t>MERGE WITH NEXT: join adjacent cues after checking gap, length and reading speed.</w:t>
      </w:r>
    </w:p>
    <w:p>
      <w:pPr>
        <w:pStyle w:val="ListBullet"/>
        <w:ind w:left="720" w:hanging="360"/>
      </w:pPr>
      <w:r>
        <w:t>ADD ROW ABOVE/BELOW and DELETE ROW: modify subtitle structure with automatic renumbering.</w:t>
      </w:r>
    </w:p>
    <w:p>
      <w:pPr>
        <w:pStyle w:val="ListBullet"/>
        <w:ind w:left="720" w:hanging="360"/>
      </w:pPr>
      <w:r>
        <w:t>AUTO FIX: adjust timing alignment without replacing the split/merge tools.</w:t>
      </w:r>
    </w:p>
    <w:p>
      <w:pPr>
        <w:pStyle w:val="Heading1"/>
      </w:pPr>
      <w:r>
        <w:t>7. Status and tolerance</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D9EAF7"/>
          </w:tcPr>
          <w:p>
            <w:r>
              <w:rPr>
                <w:b/>
              </w:rPr>
              <w:t>Status</w:t>
            </w:r>
          </w:p>
        </w:tc>
        <w:tc>
          <w:tcPr>
            <w:tcW w:type="dxa" w:w="6480"/>
            <w:vAlign w:val="center"/>
            <w:shd w:fill="D9EAF7"/>
          </w:tcPr>
          <w:p>
            <w:r>
              <w:rPr>
                <w:b/>
              </w:rPr>
              <w:t>Meaning</w:t>
            </w:r>
          </w:p>
        </w:tc>
      </w:tr>
      <w:tr>
        <w:tc>
          <w:tcPr>
            <w:tcW w:type="dxa" w:w="2880"/>
            <w:vAlign w:val="center"/>
          </w:tcPr>
          <w:p>
            <w:r>
              <w:t>RELIABLE / STRONG</w:t>
            </w:r>
          </w:p>
        </w:tc>
        <w:tc>
          <w:tcPr>
            <w:tcW w:type="dxa" w:w="6480"/>
            <w:vAlign w:val="center"/>
          </w:tcPr>
          <w:p>
            <w:r>
              <w:t>Good match; normally requires no correction.</w:t>
            </w:r>
          </w:p>
        </w:tc>
      </w:tr>
      <w:tr>
        <w:tc>
          <w:tcPr>
            <w:tcW w:type="dxa" w:w="2880"/>
            <w:vAlign w:val="center"/>
          </w:tcPr>
          <w:p>
            <w:r>
              <w:t>CHECK / MODERATE</w:t>
            </w:r>
          </w:p>
        </w:tc>
        <w:tc>
          <w:tcPr>
            <w:tcW w:type="dxa" w:w="6480"/>
            <w:vAlign w:val="center"/>
          </w:tcPr>
          <w:p>
            <w:r>
              <w:t>Listen and verify.</w:t>
            </w:r>
          </w:p>
        </w:tc>
      </w:tr>
      <w:tr>
        <w:tc>
          <w:tcPr>
            <w:tcW w:type="dxa" w:w="2880"/>
            <w:vAlign w:val="center"/>
          </w:tcPr>
          <w:p>
            <w:r>
              <w:t>WEAK</w:t>
            </w:r>
          </w:p>
        </w:tc>
        <w:tc>
          <w:tcPr>
            <w:tcW w:type="dxa" w:w="6480"/>
            <w:vAlign w:val="center"/>
          </w:tcPr>
          <w:p>
            <w:r>
              <w:t>Manual review is recommended.</w:t>
            </w:r>
          </w:p>
        </w:tc>
      </w:tr>
      <w:tr>
        <w:tc>
          <w:tcPr>
            <w:tcW w:type="dxa" w:w="2880"/>
            <w:vAlign w:val="center"/>
          </w:tcPr>
          <w:p>
            <w:r>
              <w:t>NOT FOUND</w:t>
            </w:r>
          </w:p>
        </w:tc>
        <w:tc>
          <w:tcPr>
            <w:tcW w:type="dxa" w:w="6480"/>
            <w:vAlign w:val="center"/>
          </w:tcPr>
          <w:p>
            <w:r>
              <w:t>Speech was not reliably located; shown in bold red.</w:t>
            </w:r>
          </w:p>
        </w:tc>
      </w:tr>
    </w:tbl>
    <w:p>
      <w:r>
        <w:t>Custom tolerance recalculates status from start/end deviation and confidence without running Whisper or moving cues. Hover over a status for numeric details.</w:t>
      </w:r>
    </w:p>
    <w:p>
      <w:pPr>
        <w:pStyle w:val="Heading1"/>
      </w:pPr>
      <w:r>
        <w:t>8. Editing progress and backups</w:t>
      </w:r>
    </w:p>
    <w:p>
      <w:r>
        <w:t>Manually changed rows retain a pencil marker and light sky-blue background, while the selected row remains dark blue. The last selected cue is restored on reopening. Every Save As copy receives independent project state, so backup SRT files preserve their own progress.</w:t>
      </w:r>
    </w:p>
    <w:p>
      <w:pPr>
        <w:pStyle w:val="Heading1"/>
      </w:pPr>
      <w:r>
        <w:t>9. Batch Mode</w:t>
      </w:r>
    </w:p>
    <w:p>
      <w:pPr>
        <w:pStyle w:val="ListNumber"/>
        <w:ind w:left="720" w:hanging="360"/>
      </w:pPr>
      <w:r>
        <w:t>Place each media file and matching TXT in the same project folder.</w:t>
      </w:r>
    </w:p>
    <w:p>
      <w:pPr>
        <w:pStyle w:val="ListNumber"/>
        <w:ind w:left="720" w:hanging="360"/>
      </w:pPr>
      <w:r>
        <w:t>Add a parent folder; SubtitleBoom searches subfolders recursively.</w:t>
      </w:r>
    </w:p>
    <w:p>
      <w:pPr>
        <w:pStyle w:val="ListNumber"/>
        <w:ind w:left="720" w:hanging="360"/>
      </w:pPr>
      <w:r>
        <w:t>Correct any automatic pairing by selecting the proper TXT cell.</w:t>
      </w:r>
    </w:p>
    <w:p>
      <w:pPr>
        <w:pStyle w:val="ListNumber"/>
        <w:ind w:left="720" w:hanging="360"/>
      </w:pPr>
      <w:r>
        <w:t>Choose language and model independently for every row.</w:t>
      </w:r>
    </w:p>
    <w:p>
      <w:pPr>
        <w:pStyle w:val="ListNumber"/>
        <w:ind w:left="720" w:hanging="360"/>
      </w:pPr>
      <w:r>
        <w:t>Start the queue; jobs run sequentially for stability.</w:t>
      </w:r>
    </w:p>
    <w:p>
      <w:r>
        <w:t>Batch Mode never moves, deletes or modifies originals. The aligned SRT remains beside the media and supporting data remains in SubtitleAligner_Data.</w:t>
      </w:r>
    </w:p>
    <w:p>
      <w:pPr>
        <w:pStyle w:val="Heading1"/>
      </w:pPr>
      <w:r>
        <w:t>10. Languages and models</w:t>
      </w:r>
    </w:p>
    <w:p>
      <w:r>
        <w:t>Automatic detection is first and all other spoken languages are alphabetized. Interface and processing language are independent. Serbian Latin and Serbian Cyrillic are separate choices; alignment compares scripts internally without changing source text. Croatian remains Latin-only.</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D9EAF7"/>
          </w:tcPr>
          <w:p>
            <w:r>
              <w:rPr>
                <w:b/>
              </w:rPr>
              <w:t>Model</w:t>
            </w:r>
          </w:p>
        </w:tc>
        <w:tc>
          <w:tcPr>
            <w:tcW w:type="dxa" w:w="6480"/>
            <w:vAlign w:val="center"/>
            <w:shd w:fill="D9EAF7"/>
          </w:tcPr>
          <w:p>
            <w:r>
              <w:rPr>
                <w:b/>
              </w:rPr>
              <w:t>Recommended use</w:t>
            </w:r>
          </w:p>
        </w:tc>
      </w:tr>
      <w:tr>
        <w:tc>
          <w:tcPr>
            <w:tcW w:type="dxa" w:w="2880"/>
            <w:vAlign w:val="center"/>
          </w:tcPr>
          <w:p>
            <w:r>
              <w:t>Tiny — fast</w:t>
            </w:r>
          </w:p>
        </w:tc>
        <w:tc>
          <w:tcPr>
            <w:tcW w:type="dxa" w:w="6480"/>
            <w:vAlign w:val="center"/>
          </w:tcPr>
          <w:p>
            <w:r>
              <w:t>Alignment and quick processing.</w:t>
            </w:r>
          </w:p>
        </w:tc>
      </w:tr>
      <w:tr>
        <w:tc>
          <w:tcPr>
            <w:tcW w:type="dxa" w:w="2880"/>
            <w:vAlign w:val="center"/>
          </w:tcPr>
          <w:p>
            <w:r>
              <w:t>Base — standard</w:t>
            </w:r>
          </w:p>
        </w:tc>
        <w:tc>
          <w:tcPr>
            <w:tcW w:type="dxa" w:w="6480"/>
            <w:vAlign w:val="center"/>
          </w:tcPr>
          <w:p>
            <w:r>
              <w:t>Balanced speed and accuracy.</w:t>
            </w:r>
          </w:p>
        </w:tc>
      </w:tr>
      <w:tr>
        <w:tc>
          <w:tcPr>
            <w:tcW w:type="dxa" w:w="2880"/>
            <w:vAlign w:val="center"/>
          </w:tcPr>
          <w:p>
            <w:r>
              <w:t>Small and larger</w:t>
            </w:r>
          </w:p>
        </w:tc>
        <w:tc>
          <w:tcPr>
            <w:tcW w:type="dxa" w:w="6480"/>
            <w:vAlign w:val="center"/>
          </w:tcPr>
          <w:p>
            <w:r>
              <w:t>Demanding transcription and translation; slower processing.</w:t>
            </w:r>
          </w:p>
        </w:tc>
      </w:tr>
    </w:tbl>
    <w:p>
      <w:pPr>
        <w:pStyle w:val="Heading1"/>
      </w:pPr>
      <w:r>
        <w:t>11. Supported formats</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vAlign w:val="center"/>
            <w:shd w:fill="D9EAF7"/>
          </w:tcPr>
          <w:p>
            <w:r>
              <w:rPr>
                <w:b/>
              </w:rPr>
              <w:t>Direction</w:t>
            </w:r>
          </w:p>
        </w:tc>
        <w:tc>
          <w:tcPr>
            <w:tcW w:type="dxa" w:w="7200"/>
            <w:vAlign w:val="center"/>
            <w:shd w:fill="D9EAF7"/>
          </w:tcPr>
          <w:p>
            <w:r>
              <w:rPr>
                <w:b/>
              </w:rPr>
              <w:t>Formats</w:t>
            </w:r>
          </w:p>
        </w:tc>
      </w:tr>
      <w:tr>
        <w:tc>
          <w:tcPr>
            <w:tcW w:type="dxa" w:w="2160"/>
            <w:vAlign w:val="center"/>
          </w:tcPr>
          <w:p>
            <w:r>
              <w:t>Import</w:t>
            </w:r>
          </w:p>
        </w:tc>
        <w:tc>
          <w:tcPr>
            <w:tcW w:type="dxa" w:w="7200"/>
            <w:vAlign w:val="center"/>
          </w:tcPr>
          <w:p>
            <w:r>
              <w:t>TXT, SRT, VTT, SBV, ASS/SSA, TTML/DFXP</w:t>
            </w:r>
          </w:p>
        </w:tc>
      </w:tr>
      <w:tr>
        <w:tc>
          <w:tcPr>
            <w:tcW w:type="dxa" w:w="2160"/>
            <w:vAlign w:val="center"/>
          </w:tcPr>
          <w:p>
            <w:r>
              <w:t>Export</w:t>
            </w:r>
          </w:p>
        </w:tc>
        <w:tc>
          <w:tcPr>
            <w:tcW w:type="dxa" w:w="7200"/>
            <w:vAlign w:val="center"/>
          </w:tcPr>
          <w:p>
            <w:r>
              <w:t>SRT, VTT, SBV, ASS, TXT</w:t>
            </w:r>
          </w:p>
        </w:tc>
      </w:tr>
      <w:tr>
        <w:tc>
          <w:tcPr>
            <w:tcW w:type="dxa" w:w="2160"/>
            <w:vAlign w:val="center"/>
          </w:tcPr>
          <w:p>
            <w:r>
              <w:t>YouTube package</w:t>
            </w:r>
          </w:p>
        </w:tc>
        <w:tc>
          <w:tcPr>
            <w:tcW w:type="dxa" w:w="7200"/>
            <w:vAlign w:val="center"/>
          </w:tcPr>
          <w:p>
            <w:r>
              <w:t>SRT + VTT + SBV</w:t>
            </w:r>
          </w:p>
        </w:tc>
      </w:tr>
    </w:tbl>
    <w:p>
      <w:r>
        <w:t>Advanced ASS/SSA styling may be simplified when converted to formats that do not support it. Keep the original styled file as a backup.</w:t>
      </w:r>
    </w:p>
    <w:p>
      <w:r>
        <w:br w:type="page"/>
      </w:r>
    </w:p>
    <w:p>
      <w:pPr>
        <w:pStyle w:val="Heading1"/>
      </w:pPr>
      <w:r>
        <w:t>12. Keyboard shortcuts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D9EAF7"/>
          </w:tcPr>
          <w:p>
            <w:r>
              <w:rPr>
                <w:b/>
              </w:rPr>
              <w:t>Shortcut</w:t>
            </w:r>
          </w:p>
        </w:tc>
        <w:tc>
          <w:tcPr>
            <w:tcW w:type="dxa" w:w="6480"/>
            <w:vAlign w:val="center"/>
            <w:shd w:fill="D9EAF7"/>
          </w:tcPr>
          <w:p>
            <w:r>
              <w:rPr>
                <w:b/>
              </w:rPr>
              <w:t>Function</w:t>
            </w:r>
          </w:p>
        </w:tc>
      </w:tr>
      <w:tr>
        <w:tc>
          <w:tcPr>
            <w:tcW w:type="dxa" w:w="2880"/>
            <w:vAlign w:val="center"/>
          </w:tcPr>
          <w:p>
            <w:r>
              <w:t>Space</w:t>
            </w:r>
          </w:p>
        </w:tc>
        <w:tc>
          <w:tcPr>
            <w:tcW w:type="dxa" w:w="6480"/>
            <w:vAlign w:val="center"/>
          </w:tcPr>
          <w:p>
            <w:r>
              <w:t>Play/Pause</w:t>
            </w:r>
          </w:p>
        </w:tc>
      </w:tr>
      <w:tr>
        <w:tc>
          <w:tcPr>
            <w:tcW w:type="dxa" w:w="2880"/>
            <w:vAlign w:val="center"/>
          </w:tcPr>
          <w:p>
            <w:r>
              <w:t>Esc</w:t>
            </w:r>
          </w:p>
        </w:tc>
        <w:tc>
          <w:tcPr>
            <w:tcW w:type="dxa" w:w="6480"/>
            <w:vAlign w:val="center"/>
          </w:tcPr>
          <w:p>
            <w:r>
              <w:t>Stop</w:t>
            </w:r>
          </w:p>
        </w:tc>
      </w:tr>
      <w:tr>
        <w:tc>
          <w:tcPr>
            <w:tcW w:type="dxa" w:w="2880"/>
            <w:vAlign w:val="center"/>
          </w:tcPr>
          <w:p>
            <w:r>
              <w:t>F1</w:t>
            </w:r>
          </w:p>
        </w:tc>
        <w:tc>
          <w:tcPr>
            <w:tcW w:type="dxa" w:w="6480"/>
            <w:vAlign w:val="center"/>
          </w:tcPr>
          <w:p>
            <w:r>
              <w:t>Help</w:t>
            </w:r>
          </w:p>
        </w:tc>
      </w:tr>
      <w:tr>
        <w:tc>
          <w:tcPr>
            <w:tcW w:type="dxa" w:w="2880"/>
            <w:vAlign w:val="center"/>
          </w:tcPr>
          <w:p>
            <w:r>
              <w:t>F2</w:t>
            </w:r>
          </w:p>
        </w:tc>
        <w:tc>
          <w:tcPr>
            <w:tcW w:type="dxa" w:w="6480"/>
            <w:vAlign w:val="center"/>
          </w:tcPr>
          <w:p>
            <w:r>
              <w:t>Project overview</w:t>
            </w:r>
          </w:p>
        </w:tc>
      </w:tr>
      <w:tr>
        <w:tc>
          <w:tcPr>
            <w:tcW w:type="dxa" w:w="2880"/>
            <w:vAlign w:val="center"/>
          </w:tcPr>
          <w:p>
            <w:r>
              <w:t>F3 / Shift+F3</w:t>
            </w:r>
          </w:p>
        </w:tc>
        <w:tc>
          <w:tcPr>
            <w:tcW w:type="dxa" w:w="6480"/>
            <w:vAlign w:val="center"/>
          </w:tcPr>
          <w:p>
            <w:r>
              <w:t>Next / previous problem</w:t>
            </w:r>
          </w:p>
        </w:tc>
      </w:tr>
      <w:tr>
        <w:tc>
          <w:tcPr>
            <w:tcW w:type="dxa" w:w="2880"/>
            <w:vAlign w:val="center"/>
          </w:tcPr>
          <w:p>
            <w:r>
              <w:t>Alt+Left / Alt+Right</w:t>
            </w:r>
          </w:p>
        </w:tc>
        <w:tc>
          <w:tcPr>
            <w:tcW w:type="dxa" w:w="6480"/>
            <w:vAlign w:val="center"/>
          </w:tcPr>
          <w:p>
            <w:r>
              <w:t>Previous / next cue</w:t>
            </w:r>
          </w:p>
        </w:tc>
      </w:tr>
      <w:tr>
        <w:tc>
          <w:tcPr>
            <w:tcW w:type="dxa" w:w="2880"/>
            <w:vAlign w:val="center"/>
          </w:tcPr>
          <w:p>
            <w:r>
              <w:t>Ctrl+Enter</w:t>
            </w:r>
          </w:p>
        </w:tc>
        <w:tc>
          <w:tcPr>
            <w:tcW w:type="dxa" w:w="6480"/>
            <w:vAlign w:val="center"/>
          </w:tcPr>
          <w:p>
            <w:r>
              <w:t>Apply</w:t>
            </w:r>
          </w:p>
        </w:tc>
      </w:tr>
      <w:tr>
        <w:tc>
          <w:tcPr>
            <w:tcW w:type="dxa" w:w="2880"/>
            <w:vAlign w:val="center"/>
          </w:tcPr>
          <w:p>
            <w:r>
              <w:t>Ctrl+S</w:t>
            </w:r>
          </w:p>
        </w:tc>
        <w:tc>
          <w:tcPr>
            <w:tcW w:type="dxa" w:w="6480"/>
            <w:vAlign w:val="center"/>
          </w:tcPr>
          <w:p>
            <w:r>
              <w:t>Save</w:t>
            </w:r>
          </w:p>
        </w:tc>
      </w:tr>
      <w:tr>
        <w:tc>
          <w:tcPr>
            <w:tcW w:type="dxa" w:w="2880"/>
            <w:vAlign w:val="center"/>
          </w:tcPr>
          <w:p>
            <w:r>
              <w:t>Ctrl+Z / Ctrl+Y</w:t>
            </w:r>
          </w:p>
        </w:tc>
        <w:tc>
          <w:tcPr>
            <w:tcW w:type="dxa" w:w="6480"/>
            <w:vAlign w:val="center"/>
          </w:tcPr>
          <w:p>
            <w:r>
              <w:t>Undo / Redo</w:t>
            </w:r>
          </w:p>
        </w:tc>
      </w:tr>
      <w:tr>
        <w:tc>
          <w:tcPr>
            <w:tcW w:type="dxa" w:w="2880"/>
            <w:vAlign w:val="center"/>
          </w:tcPr>
          <w:p>
            <w:r>
              <w:t>Delete</w:t>
            </w:r>
          </w:p>
        </w:tc>
        <w:tc>
          <w:tcPr>
            <w:tcW w:type="dxa" w:w="6480"/>
            <w:vAlign w:val="center"/>
          </w:tcPr>
          <w:p>
            <w:r>
              <w:t>Delete selected cue</w:t>
            </w:r>
          </w:p>
        </w:tc>
      </w:tr>
    </w:tbl>
    <w:p>
      <w:pPr>
        <w:pStyle w:val="Heading1"/>
      </w:pPr>
      <w:r>
        <w:t>13. Project overview and troubleshooting</w:t>
      </w:r>
    </w:p>
    <w:p>
      <w:r>
        <w:t>F2 displays project health, cue counts, confidence statistics, edited rows, save state, processing performance and important file paths. Health is an advisory estimate; always review the final SRT.</w:t>
      </w:r>
    </w:p>
    <w:p>
      <w:pPr>
        <w:pStyle w:val="ListBullet"/>
        <w:ind w:left="720" w:hanging="360"/>
      </w:pPr>
      <w:r>
        <w:t>Speech not found: listen around the cue and use Detect Speech or adjust timing manually.</w:t>
      </w:r>
    </w:p>
    <w:p>
      <w:pPr>
        <w:pStyle w:val="ListBullet"/>
        <w:ind w:left="720" w:hanging="360"/>
      </w:pPr>
      <w:r>
        <w:t>Cache missing: the original SRT remains intact; SubtitleBoom rebuilds supporting data when needed.</w:t>
      </w:r>
    </w:p>
    <w:p>
      <w:pPr>
        <w:pStyle w:val="ListBullet"/>
        <w:ind w:left="720" w:hanging="360"/>
      </w:pPr>
      <w:r>
        <w:t>Long media: completed segments are retained so interrupted processing can continue.</w:t>
      </w:r>
    </w:p>
    <w:p>
      <w:pPr>
        <w:pStyle w:val="ListBullet"/>
        <w:ind w:left="720" w:hanging="360"/>
      </w:pPr>
      <w:r>
        <w:t>Small display: scroll the lower-right panel with its scrollbar or mouse wheel.</w:t>
      </w:r>
    </w:p>
    <w:p>
      <w:pPr>
        <w:pStyle w:val="Heading1"/>
      </w:pPr>
      <w:r>
        <w:t>14. Portable use and privacy</w:t>
      </w:r>
    </w:p>
    <w:p>
      <w:r>
        <w:t>After BUILD.bat creates PROGRAM, copy the entire PROGRAM folder—not only SubtitleBoom.exe. Whisper, FFmpeg, models, languages, documentation and configuration are stored with it. Some interface settings remain in the Windows user profile, while project progress remains beside working files in SubtitleAligner_Data.</w:t>
      </w:r>
    </w:p>
    <w:p>
      <w:r>
        <w:t>Processing is local. Original media and text are not uploaded by SubtitleBoom. Optional support uses only the PayPal.Me address configured in PROGRAM\config\donation.txt.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SubtitleBoom v1.0 — English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SubtitleBoom v1.0 — English User Guide</dc:title>
  <dc:subject>Offline subtitle alignment, transcription, translation and editing</dc:subject>
  <dc:creator>SubtitleBoom</dc:creator>
  <cp:keywords/>
  <dc:description>generated by python-docx</dc:description>
  <cp:lastModifiedBy/>
  <cp:revision>1</cp:revision>
  <dcterms:created xsi:type="dcterms:W3CDTF">2013-12-23T23:15:00Z</dcterms:created>
  <dcterms:modified xsi:type="dcterms:W3CDTF">2013-12-23T23:15:00Z</dcterms:modified>
  <cp:category/>
</cp:coreProperties>
</file>