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2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optimizer.step()    # Does the update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градиент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loss-a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 и обновляем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 модели в режим тестов или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 xml:space="preserve">тесты из Test DataSet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(например, расчет accuracy)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model/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logdir  # </w:t>
      </w:r>
      <w:r>
        <w:rPr>
          <w:b w:val="false"/>
          <w:bCs w:val="false"/>
          <w:i/>
          <w:iCs/>
          <w:sz w:val="24"/>
          <w:szCs w:val="24"/>
        </w:rPr>
        <w:t>графики для TB (train and test)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saves  # </w:t>
      </w:r>
      <w:r>
        <w:rPr>
          <w:b w:val="false"/>
          <w:bCs w:val="false"/>
          <w:i/>
          <w:iCs/>
          <w:sz w:val="24"/>
          <w:szCs w:val="24"/>
        </w:rPr>
        <w:t xml:space="preserve">чекпоинты. </w:t>
      </w:r>
      <w:r>
        <w:rPr>
          <w:b/>
          <w:bCs/>
          <w:i/>
          <w:iCs/>
          <w:color w:val="FF0000"/>
          <w:sz w:val="24"/>
          <w:szCs w:val="24"/>
        </w:rPr>
        <w:t>Здесь дб best.pt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training.log   # </w:t>
      </w:r>
      <w:r>
        <w:rPr>
          <w:b w:val="false"/>
          <w:bCs w:val="false"/>
          <w:i/>
          <w:iCs/>
          <w:sz w:val="24"/>
          <w:szCs w:val="24"/>
        </w:rPr>
        <w:t>процесс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>для серверного использования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extra-files подгружаются из основной директории проекта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MyHandler.py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Здесь </w:t>
        <w:tab/>
        <w:tab/>
        <w:tab/>
        <w:t xml:space="preserve">хранятся .hgignore, результаты тестов, базовые модели-прототипы </w:t>
        <w:tab/>
        <w:tab/>
        <w:tab/>
        <w:t>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Application>LibreOffice/5.1.6.2$Linux_X86_64 LibreOffice_project/10m0$Build-2</Application>
  <Pages>4</Pages>
  <Words>904</Words>
  <Characters>6160</Characters>
  <CharactersWithSpaces>7096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2020-10-08T11:02:09Z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