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0"/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1" w:name="_GoBack"/>
            <w:bookmarkEnd w:id="1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CNN_model.py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2" w:name="__DdeLink__577_981101545"/>
      <w:bookmarkEnd w:id="2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Application>LibreOffice/6.0.7.3$Linux_X86_64 LibreOffice_project/00m0$Build-3</Application>
  <Pages>6</Pages>
  <Words>1328</Words>
  <Characters>9095</Characters>
  <CharactersWithSpaces>10423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2021-01-20T18:20:59Z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