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Добавление к сайту недостающих элементов.</w:t>
      </w:r>
    </w:p>
    <w:p>
      <w:pPr>
        <w:pStyle w:val="Subtitle"/>
      </w:pPr>
      <w:r>
        <w:t xml:space="preserve">Этап 5</w:t>
      </w:r>
    </w:p>
    <w:p>
      <w:pPr>
        <w:pStyle w:val="Author"/>
      </w:pPr>
      <w:r>
        <w:t xml:space="preserve">Козомазов Владимир 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1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bookmarkStart w:id="20" w:name="конкретные-цели"/>
    <w:p>
      <w:pPr>
        <w:pStyle w:val="Heading4"/>
      </w:pPr>
      <w:r>
        <w:rPr>
          <w:rStyle w:val="SectionNumber"/>
        </w:rPr>
        <w:t xml:space="preserve">1.0.0.1</w:t>
      </w:r>
      <w:r>
        <w:tab/>
      </w:r>
      <w:r>
        <w:rPr>
          <w:b/>
          <w:bCs/>
        </w:rPr>
        <w:t xml:space="preserve">Конкретные цели: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Улучшение информационной ценности сайта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Повышение доверия и академической репутации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Оптимизация пользовательского опыта (UX)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SEO-оптимизация и рост посещаемости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Содействие развитию открытой науки</w:t>
      </w:r>
    </w:p>
    <w:bookmarkEnd w:id="20"/>
    <w:bookmarkEnd w:id="21"/>
    <w:bookmarkStart w:id="22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2"/>
        </w:numPr>
      </w:pPr>
      <w:r>
        <w:t xml:space="preserve">Зарегистрироваться на соответствующих ресурсах и разместить на них ссылки на сайте:</w:t>
      </w:r>
      <w:r>
        <w:t xml:space="preserve"> </w:t>
      </w:r>
      <w:r>
        <w:t xml:space="preserve">eLibrary : https://elibrary.ru/;</w:t>
      </w:r>
      <w:r>
        <w:t xml:space="preserve"> </w:t>
      </w:r>
      <w:r>
        <w:t xml:space="preserve">Google Scholar : https://scholar.google.com/;</w:t>
      </w:r>
      <w:r>
        <w:t xml:space="preserve"> </w:t>
      </w:r>
      <w:r>
        <w:t xml:space="preserve">ORCID : https://orcid.org/;</w:t>
      </w:r>
      <w:r>
        <w:t xml:space="preserve"> </w:t>
      </w:r>
      <w:r>
        <w:t xml:space="preserve">Mendeley : https://www.mendeley.com/;</w:t>
      </w:r>
      <w:r>
        <w:t xml:space="preserve"> </w:t>
      </w:r>
      <w:r>
        <w:t xml:space="preserve">ResearchGate : https://www.researchgate.net/;</w:t>
      </w:r>
      <w:r>
        <w:t xml:space="preserve"> </w:t>
      </w:r>
      <w:r>
        <w:t xml:space="preserve">Academia.edu : https://www.academia.edu/;</w:t>
      </w:r>
      <w:r>
        <w:t xml:space="preserve"> </w:t>
      </w:r>
      <w:r>
        <w:t xml:space="preserve">arXiv : https://arxiv.org/;</w:t>
      </w:r>
      <w:r>
        <w:t xml:space="preserve"> </w:t>
      </w:r>
      <w:r>
        <w:t xml:space="preserve">github : https://github.com/.</w:t>
      </w:r>
    </w:p>
    <w:p>
      <w:pPr>
        <w:pStyle w:val="Compact"/>
        <w:numPr>
          <w:ilvl w:val="0"/>
          <w:numId w:val="1002"/>
        </w:numPr>
      </w:pPr>
      <w:r>
        <w:t xml:space="preserve">Сделать пост по прошедшей неделе.</w:t>
      </w:r>
    </w:p>
    <w:p>
      <w:pPr>
        <w:pStyle w:val="Compact"/>
        <w:numPr>
          <w:ilvl w:val="0"/>
          <w:numId w:val="1002"/>
        </w:numPr>
      </w:pPr>
      <w:r>
        <w:t xml:space="preserve">Добавить пост на тему по выбору:</w:t>
      </w:r>
    </w:p>
    <w:p>
      <w:pPr>
        <w:pStyle w:val="Compact"/>
        <w:numPr>
          <w:ilvl w:val="0"/>
          <w:numId w:val="1002"/>
        </w:numPr>
      </w:pPr>
      <w:r>
        <w:t xml:space="preserve">Оформление отчёта.</w:t>
      </w:r>
    </w:p>
    <w:p>
      <w:pPr>
        <w:pStyle w:val="Compact"/>
        <w:numPr>
          <w:ilvl w:val="0"/>
          <w:numId w:val="1002"/>
        </w:numPr>
      </w:pPr>
      <w:r>
        <w:t xml:space="preserve">Создание презентаций.</w:t>
      </w:r>
    </w:p>
    <w:p>
      <w:pPr>
        <w:pStyle w:val="Compact"/>
        <w:numPr>
          <w:ilvl w:val="0"/>
          <w:numId w:val="1002"/>
        </w:numPr>
      </w:pPr>
      <w:r>
        <w:t xml:space="preserve">Работа с библиографией.</w:t>
      </w:r>
    </w:p>
    <w:p>
      <w:pPr>
        <w:pStyle w:val="Compact"/>
        <w:numPr>
          <w:ilvl w:val="0"/>
          <w:numId w:val="1002"/>
        </w:numPr>
      </w:pPr>
      <w:r>
        <w:t xml:space="preserve">Добавить с сайту все остальные элементы.</w:t>
      </w:r>
    </w:p>
    <w:bookmarkEnd w:id="22"/>
    <w:bookmarkStart w:id="29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3" w:name="актуальность-интеграции-научных-ресурсов"/>
    <w:p>
      <w:pPr>
        <w:pStyle w:val="Heading4"/>
      </w:pPr>
      <w:r>
        <w:rPr>
          <w:rStyle w:val="SectionNumber"/>
        </w:rPr>
        <w:t xml:space="preserve">3.0.0.1</w:t>
      </w:r>
      <w:r>
        <w:tab/>
      </w:r>
      <w:r>
        <w:t xml:space="preserve">1. Актуальность интеграции научных ресурсов</w:t>
      </w:r>
    </w:p>
    <w:p>
      <w:pPr>
        <w:pStyle w:val="FirstParagraph"/>
      </w:pPr>
      <w:r>
        <w:t xml:space="preserve">В современной цифровой среде веб-сайты научных организаций, образовательных учреждений и исследовательских центров сталкиваются с необходимостью подтверждения достоверности публикуемой информации. Интеграция ссылок на авторитетные библиометрические ресурсы становится важным инструментом:</w:t>
      </w:r>
    </w:p>
    <w:p>
      <w:pPr>
        <w:pStyle w:val="Compact"/>
        <w:numPr>
          <w:ilvl w:val="0"/>
          <w:numId w:val="1003"/>
        </w:numPr>
      </w:pPr>
      <w:r>
        <w:t xml:space="preserve">Повышает доверие к контенту</w:t>
      </w:r>
    </w:p>
    <w:p>
      <w:pPr>
        <w:pStyle w:val="Compact"/>
        <w:numPr>
          <w:ilvl w:val="0"/>
          <w:numId w:val="1003"/>
        </w:numPr>
      </w:pPr>
      <w:r>
        <w:t xml:space="preserve">Обеспечивает верификацию научных данных</w:t>
      </w:r>
    </w:p>
    <w:p>
      <w:pPr>
        <w:pStyle w:val="Compact"/>
        <w:numPr>
          <w:ilvl w:val="0"/>
          <w:numId w:val="1003"/>
        </w:numPr>
      </w:pPr>
      <w:r>
        <w:t xml:space="preserve">Способствует академической прозрачности</w:t>
      </w:r>
    </w:p>
    <w:p>
      <w:pPr>
        <w:pStyle w:val="Compact"/>
        <w:numPr>
          <w:ilvl w:val="0"/>
          <w:numId w:val="1003"/>
        </w:numPr>
      </w:pPr>
      <w:r>
        <w:t xml:space="preserve">Соответствует принципам открытой науки (Open Science)</w:t>
      </w:r>
    </w:p>
    <w:bookmarkEnd w:id="23"/>
    <w:bookmarkStart w:id="24" w:name="научно-методические-основы"/>
    <w:p>
      <w:pPr>
        <w:pStyle w:val="Heading4"/>
      </w:pPr>
      <w:r>
        <w:rPr>
          <w:rStyle w:val="SectionNumber"/>
        </w:rPr>
        <w:t xml:space="preserve">3.0.0.2</w:t>
      </w:r>
      <w:r>
        <w:tab/>
      </w:r>
      <w:r>
        <w:t xml:space="preserve">2. Научно-методические основы</w:t>
      </w:r>
    </w:p>
    <w:p>
      <w:pPr>
        <w:pStyle w:val="FirstParagraph"/>
      </w:pPr>
      <w:r>
        <w:t xml:space="preserve">Теоретической базой для исследования выступают: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Принципы научной коммуникации</w:t>
      </w:r>
      <w:r>
        <w:t xml:space="preserve"> </w:t>
      </w:r>
      <w:r>
        <w:t xml:space="preserve">(Meadows, 1998):</w:t>
      </w:r>
    </w:p>
    <w:p>
      <w:pPr>
        <w:pStyle w:val="Compact"/>
        <w:numPr>
          <w:ilvl w:val="1"/>
          <w:numId w:val="1005"/>
        </w:numPr>
      </w:pPr>
      <w:r>
        <w:t xml:space="preserve">Необходимость обеспечения доступа к первоисточникам</w:t>
      </w:r>
    </w:p>
    <w:p>
      <w:pPr>
        <w:pStyle w:val="Compact"/>
        <w:numPr>
          <w:ilvl w:val="1"/>
          <w:numId w:val="1005"/>
        </w:numPr>
      </w:pPr>
      <w:r>
        <w:t xml:space="preserve">Важность установления связей между научными работами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Теория информационного поиска</w:t>
      </w:r>
      <w:r>
        <w:t xml:space="preserve"> </w:t>
      </w:r>
      <w:r>
        <w:t xml:space="preserve">(Marchionini, 1995):</w:t>
      </w:r>
    </w:p>
    <w:p>
      <w:pPr>
        <w:pStyle w:val="Compact"/>
        <w:numPr>
          <w:ilvl w:val="1"/>
          <w:numId w:val="1006"/>
        </w:numPr>
      </w:pPr>
      <w:r>
        <w:t xml:space="preserve">Оптимизация навигации для исследователей</w:t>
      </w:r>
    </w:p>
    <w:p>
      <w:pPr>
        <w:pStyle w:val="Compact"/>
        <w:numPr>
          <w:ilvl w:val="1"/>
          <w:numId w:val="1006"/>
        </w:numPr>
      </w:pPr>
      <w:r>
        <w:t xml:space="preserve">Снижение когнитивной нагрузки при работе с научной информацией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Веб-метрические исследования</w:t>
      </w:r>
      <w:r>
        <w:t xml:space="preserve"> </w:t>
      </w:r>
      <w:r>
        <w:t xml:space="preserve">(Thelwall, 2009):</w:t>
      </w:r>
    </w:p>
    <w:p>
      <w:pPr>
        <w:pStyle w:val="Compact"/>
        <w:numPr>
          <w:ilvl w:val="1"/>
          <w:numId w:val="1007"/>
        </w:numPr>
      </w:pPr>
      <w:r>
        <w:t xml:space="preserve">Влияние ссылочной массы на авторитетность ресурса</w:t>
      </w:r>
    </w:p>
    <w:p>
      <w:pPr>
        <w:pStyle w:val="Compact"/>
        <w:numPr>
          <w:ilvl w:val="1"/>
          <w:numId w:val="1007"/>
        </w:numPr>
      </w:pPr>
      <w:r>
        <w:t xml:space="preserve">Значение ссылок на индексируемые научные базы</w:t>
      </w:r>
    </w:p>
    <w:bookmarkEnd w:id="24"/>
    <w:bookmarkStart w:id="25" w:name="классификация-научных-ресурсов"/>
    <w:p>
      <w:pPr>
        <w:pStyle w:val="Heading4"/>
      </w:pPr>
      <w:r>
        <w:rPr>
          <w:rStyle w:val="SectionNumber"/>
        </w:rPr>
        <w:t xml:space="preserve">3.0.0.3</w:t>
      </w:r>
      <w:r>
        <w:tab/>
      </w:r>
      <w:r>
        <w:t xml:space="preserve">3. Классификация научных ресурсов</w:t>
      </w:r>
    </w:p>
    <w:p>
      <w:pPr>
        <w:pStyle w:val="FirstParagraph"/>
      </w:pPr>
      <w:r>
        <w:t xml:space="preserve">Для интеграции в веб-сайты можно выделить несколько категорий ресурсов: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028"/>
        <w:gridCol w:w="2096"/>
        <w:gridCol w:w="2795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Тип ресурса</w:t>
            </w:r>
          </w:p>
        </w:tc>
        <w:tc>
          <w:tcPr/>
          <w:p>
            <w:pPr>
              <w:pStyle w:val="Compact"/>
            </w:pPr>
            <w:r>
              <w:t xml:space="preserve">Примеры</w:t>
            </w:r>
          </w:p>
        </w:tc>
        <w:tc>
          <w:tcPr/>
          <w:p>
            <w:pPr>
              <w:pStyle w:val="Compact"/>
            </w:pPr>
            <w:r>
              <w:t xml:space="preserve">Назначение</w:t>
            </w:r>
          </w:p>
        </w:tc>
      </w:tr>
      <w:tr>
        <w:tc>
          <w:tcPr/>
          <w:p>
            <w:pPr>
              <w:pStyle w:val="Compact"/>
            </w:pPr>
            <w:r>
              <w:t xml:space="preserve">Библиографические базы</w:t>
            </w:r>
          </w:p>
        </w:tc>
        <w:tc>
          <w:tcPr/>
          <w:p>
            <w:pPr>
              <w:pStyle w:val="Compact"/>
            </w:pPr>
            <w:r>
              <w:t xml:space="preserve">Scopus, WoS</w:t>
            </w:r>
          </w:p>
        </w:tc>
        <w:tc>
          <w:tcPr/>
          <w:p>
            <w:pPr>
              <w:pStyle w:val="Compact"/>
            </w:pPr>
            <w:r>
              <w:t xml:space="preserve">Индексация публикаций</w:t>
            </w:r>
          </w:p>
        </w:tc>
      </w:tr>
      <w:tr>
        <w:tc>
          <w:tcPr/>
          <w:p>
            <w:pPr>
              <w:pStyle w:val="Compact"/>
            </w:pPr>
            <w:r>
              <w:t xml:space="preserve">Репозитории</w:t>
            </w:r>
          </w:p>
        </w:tc>
        <w:tc>
          <w:tcPr/>
          <w:p>
            <w:pPr>
              <w:pStyle w:val="Compact"/>
            </w:pPr>
            <w:r>
              <w:t xml:space="preserve">arXiv, ResearchGate</w:t>
            </w:r>
          </w:p>
        </w:tc>
        <w:tc>
          <w:tcPr/>
          <w:p>
            <w:pPr>
              <w:pStyle w:val="Compact"/>
            </w:pPr>
            <w:r>
              <w:t xml:space="preserve">Открытый доступ к публикациям</w:t>
            </w:r>
          </w:p>
        </w:tc>
      </w:tr>
      <w:tr>
        <w:tc>
          <w:tcPr/>
          <w:p>
            <w:pPr>
              <w:pStyle w:val="Compact"/>
            </w:pPr>
            <w:r>
              <w:t xml:space="preserve">Наукометрические системы</w:t>
            </w:r>
          </w:p>
        </w:tc>
        <w:tc>
          <w:tcPr/>
          <w:p>
            <w:pPr>
              <w:pStyle w:val="Compact"/>
            </w:pPr>
            <w:r>
              <w:t xml:space="preserve">Google Scholar, РИНЦ</w:t>
            </w:r>
          </w:p>
        </w:tc>
        <w:tc>
          <w:tcPr/>
          <w:p>
            <w:pPr>
              <w:pStyle w:val="Compact"/>
            </w:pPr>
            <w:r>
              <w:t xml:space="preserve">Анализ цитирований</w:t>
            </w:r>
          </w:p>
        </w:tc>
      </w:tr>
      <w:tr>
        <w:tc>
          <w:tcPr/>
          <w:p>
            <w:pPr>
              <w:pStyle w:val="Compact"/>
            </w:pPr>
            <w:r>
              <w:t xml:space="preserve">Социальные сети ученых</w:t>
            </w:r>
          </w:p>
        </w:tc>
        <w:tc>
          <w:tcPr/>
          <w:p>
            <w:pPr>
              <w:pStyle w:val="Compact"/>
            </w:pPr>
            <w:r>
              <w:t xml:space="preserve">Academia.edu, Mendeley</w:t>
            </w:r>
          </w:p>
        </w:tc>
        <w:tc>
          <w:tcPr/>
          <w:p>
            <w:pPr>
              <w:pStyle w:val="Compact"/>
            </w:pPr>
            <w:r>
              <w:t xml:space="preserve">Научные коммуникации</w:t>
            </w:r>
          </w:p>
        </w:tc>
      </w:tr>
    </w:tbl>
    <w:bookmarkEnd w:id="25"/>
    <w:bookmarkStart w:id="26" w:name="технологические-аспекты"/>
    <w:p>
      <w:pPr>
        <w:pStyle w:val="Heading4"/>
      </w:pPr>
      <w:r>
        <w:rPr>
          <w:rStyle w:val="SectionNumber"/>
        </w:rPr>
        <w:t xml:space="preserve">3.0.0.4</w:t>
      </w:r>
      <w:r>
        <w:tab/>
      </w:r>
      <w:r>
        <w:t xml:space="preserve">4. Технологические аспекты</w:t>
      </w:r>
    </w:p>
    <w:p>
      <w:pPr>
        <w:pStyle w:val="FirstParagraph"/>
      </w:pPr>
      <w:r>
        <w:t xml:space="preserve">При реализации проекта необходимо учитывать: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Технические требования</w:t>
      </w:r>
      <w:r>
        <w:t xml:space="preserve">:</w:t>
      </w:r>
    </w:p>
    <w:p>
      <w:pPr>
        <w:pStyle w:val="Compact"/>
        <w:numPr>
          <w:ilvl w:val="1"/>
          <w:numId w:val="1009"/>
        </w:numPr>
      </w:pPr>
      <w:r>
        <w:t xml:space="preserve">Механизмы автоматического обновления ссылок</w:t>
      </w:r>
    </w:p>
    <w:p>
      <w:pPr>
        <w:pStyle w:val="Compact"/>
        <w:numPr>
          <w:ilvl w:val="1"/>
          <w:numId w:val="1009"/>
        </w:numPr>
      </w:pPr>
      <w:r>
        <w:t xml:space="preserve">API интеграция с научными платформами</w:t>
      </w:r>
    </w:p>
    <w:p>
      <w:pPr>
        <w:pStyle w:val="Compact"/>
        <w:numPr>
          <w:ilvl w:val="1"/>
          <w:numId w:val="1009"/>
        </w:numPr>
      </w:pPr>
      <w:r>
        <w:t xml:space="preserve">Обеспечение кросс-браузерной совместимости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Юзабилити-факторы</w:t>
      </w:r>
      <w:r>
        <w:t xml:space="preserve">:</w:t>
      </w:r>
    </w:p>
    <w:p>
      <w:pPr>
        <w:pStyle w:val="Compact"/>
        <w:numPr>
          <w:ilvl w:val="1"/>
          <w:numId w:val="1010"/>
        </w:numPr>
      </w:pPr>
      <w:r>
        <w:t xml:space="preserve">Оптимальное расположение ссылок (F-образная модель восприятия)</w:t>
      </w:r>
    </w:p>
    <w:p>
      <w:pPr>
        <w:pStyle w:val="Compact"/>
        <w:numPr>
          <w:ilvl w:val="1"/>
          <w:numId w:val="1010"/>
        </w:numPr>
      </w:pPr>
      <w:r>
        <w:t xml:space="preserve">Соответствие принципам веб-доступности (WCAG 2.1)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SEO-оптимизация</w:t>
      </w:r>
      <w:r>
        <w:t xml:space="preserve">:</w:t>
      </w:r>
    </w:p>
    <w:p>
      <w:pPr>
        <w:pStyle w:val="Compact"/>
        <w:numPr>
          <w:ilvl w:val="1"/>
          <w:numId w:val="1011"/>
        </w:numPr>
      </w:pPr>
      <w:r>
        <w:t xml:space="preserve">Использование микроразметки Schema.org</w:t>
      </w:r>
    </w:p>
    <w:p>
      <w:pPr>
        <w:pStyle w:val="Compact"/>
        <w:numPr>
          <w:ilvl w:val="1"/>
          <w:numId w:val="1011"/>
        </w:numPr>
      </w:pPr>
      <w:r>
        <w:t xml:space="preserve">Управление ссылочным весом (link juice)</w:t>
      </w:r>
    </w:p>
    <w:bookmarkEnd w:id="26"/>
    <w:bookmarkStart w:id="27" w:name="опыт-ведущих-организаций"/>
    <w:p>
      <w:pPr>
        <w:pStyle w:val="Heading4"/>
      </w:pPr>
      <w:r>
        <w:rPr>
          <w:rStyle w:val="SectionNumber"/>
        </w:rPr>
        <w:t xml:space="preserve">3.0.0.5</w:t>
      </w:r>
      <w:r>
        <w:tab/>
      </w:r>
      <w:r>
        <w:t xml:space="preserve">5. Опыт ведущих организаций</w:t>
      </w:r>
    </w:p>
    <w:p>
      <w:pPr>
        <w:pStyle w:val="FirstParagraph"/>
      </w:pPr>
      <w:r>
        <w:t xml:space="preserve">Анализ практики ведущих научных центров показывает:</w:t>
      </w:r>
    </w:p>
    <w:p>
      <w:pPr>
        <w:pStyle w:val="Compact"/>
        <w:numPr>
          <w:ilvl w:val="0"/>
          <w:numId w:val="1012"/>
        </w:numPr>
      </w:pPr>
      <w:r>
        <w:t xml:space="preserve">89% университетов мирового топ-100 используют ссылки на библиометрические ресурсы</w:t>
      </w:r>
    </w:p>
    <w:p>
      <w:pPr>
        <w:pStyle w:val="Compact"/>
        <w:numPr>
          <w:ilvl w:val="0"/>
          <w:numId w:val="1012"/>
        </w:numPr>
      </w:pPr>
      <w:r>
        <w:t xml:space="preserve">Наиболее распространенные схемы размещения:</w:t>
      </w:r>
    </w:p>
    <w:p>
      <w:pPr>
        <w:pStyle w:val="Compact"/>
        <w:numPr>
          <w:ilvl w:val="1"/>
          <w:numId w:val="1013"/>
        </w:numPr>
      </w:pPr>
      <w:r>
        <w:t xml:space="preserve">Отдельный раздел</w:t>
      </w:r>
      <w:r>
        <w:t xml:space="preserve"> </w:t>
      </w:r>
      <w:r>
        <w:t xml:space="preserve">“Research”</w:t>
      </w:r>
    </w:p>
    <w:p>
      <w:pPr>
        <w:pStyle w:val="Compact"/>
        <w:numPr>
          <w:ilvl w:val="1"/>
          <w:numId w:val="1013"/>
        </w:numPr>
      </w:pPr>
      <w:r>
        <w:t xml:space="preserve">Блок в подвале сайта</w:t>
      </w:r>
    </w:p>
    <w:p>
      <w:pPr>
        <w:pStyle w:val="Compact"/>
        <w:numPr>
          <w:ilvl w:val="1"/>
          <w:numId w:val="1013"/>
        </w:numPr>
      </w:pPr>
      <w:r>
        <w:t xml:space="preserve">Интеграция в профили авторов</w:t>
      </w:r>
    </w:p>
    <w:bookmarkEnd w:id="27"/>
    <w:bookmarkStart w:id="28" w:name="нормативная-база"/>
    <w:p>
      <w:pPr>
        <w:pStyle w:val="Heading4"/>
      </w:pPr>
      <w:r>
        <w:rPr>
          <w:rStyle w:val="SectionNumber"/>
        </w:rPr>
        <w:t xml:space="preserve">3.0.0.6</w:t>
      </w:r>
      <w:r>
        <w:tab/>
      </w:r>
      <w:r>
        <w:t xml:space="preserve">6. Нормативная база</w:t>
      </w:r>
    </w:p>
    <w:p>
      <w:pPr>
        <w:pStyle w:val="FirstParagraph"/>
      </w:pPr>
      <w:r>
        <w:t xml:space="preserve">Проект соответствует:</w:t>
      </w:r>
    </w:p>
    <w:p>
      <w:pPr>
        <w:pStyle w:val="Compact"/>
        <w:numPr>
          <w:ilvl w:val="0"/>
          <w:numId w:val="1014"/>
        </w:numPr>
      </w:pPr>
      <w:r>
        <w:t xml:space="preserve">Принципам Декларации Берлина по открытому доступу</w:t>
      </w:r>
    </w:p>
    <w:p>
      <w:pPr>
        <w:pStyle w:val="Compact"/>
        <w:numPr>
          <w:ilvl w:val="0"/>
          <w:numId w:val="1014"/>
        </w:numPr>
      </w:pPr>
      <w:r>
        <w:t xml:space="preserve">Рекомендациям COPE (Committee on Publication Ethics)</w:t>
      </w:r>
    </w:p>
    <w:p>
      <w:pPr>
        <w:pStyle w:val="Compact"/>
        <w:numPr>
          <w:ilvl w:val="0"/>
          <w:numId w:val="1014"/>
        </w:numPr>
      </w:pPr>
      <w:r>
        <w:t xml:space="preserve">Требованиям национальных систем научной аттестации</w:t>
      </w:r>
    </w:p>
    <w:bookmarkEnd w:id="28"/>
    <w:bookmarkEnd w:id="29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Перешёл в репозиторий, где хранятся общие файлф для тем Wowchemy (рис. 1).</w:t>
      </w:r>
    </w:p>
    <w:bookmarkStart w:id="33" w:name="fig:001"/>
    <w:p>
      <w:pPr>
        <w:pStyle w:val="CaptionedFigure"/>
      </w:pPr>
      <w:r>
        <w:drawing>
          <wp:inline>
            <wp:extent cx="3733800" cy="2096236"/>
            <wp:effectExtent b="0" l="0" r="0" t="0"/>
            <wp:docPr descr="Рис. 1: Переход в репозиторий" title="" id="31" name="Picture"/>
            <a:graphic>
              <a:graphicData uri="http://schemas.openxmlformats.org/drawingml/2006/picture">
                <pic:pic>
                  <pic:nvPicPr>
                    <pic:cNvPr descr="image/00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62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репозиторий</w:t>
      </w:r>
    </w:p>
    <w:bookmarkEnd w:id="33"/>
    <w:p>
      <w:pPr>
        <w:pStyle w:val="BodyText"/>
      </w:pPr>
      <w:r>
        <w:t xml:space="preserve">Задал имя репозитория (рис. 2).</w:t>
      </w:r>
    </w:p>
    <w:bookmarkStart w:id="37" w:name="fig:002"/>
    <w:p>
      <w:pPr>
        <w:pStyle w:val="CaptionedFigure"/>
      </w:pPr>
      <w:r>
        <w:drawing>
          <wp:inline>
            <wp:extent cx="3733800" cy="1828958"/>
            <wp:effectExtent b="0" l="0" r="0" t="0"/>
            <wp:docPr descr="Рис. 2: Именование репозитория" title="" id="35" name="Picture"/>
            <a:graphic>
              <a:graphicData uri="http://schemas.openxmlformats.org/drawingml/2006/picture">
                <pic:pic>
                  <pic:nvPicPr>
                    <pic:cNvPr descr="image/002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8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Именование репозитория</w:t>
      </w:r>
    </w:p>
    <w:bookmarkEnd w:id="37"/>
    <w:p>
      <w:pPr>
        <w:pStyle w:val="BodyText"/>
      </w:pPr>
      <w:r>
        <w:t xml:space="preserve">Сгенерировал репозиторий по шаблону (рис. 3).</w:t>
      </w:r>
    </w:p>
    <w:bookmarkStart w:id="41" w:name="fig:003"/>
    <w:p>
      <w:pPr>
        <w:pStyle w:val="CaptionedFigure"/>
      </w:pPr>
      <w:r>
        <w:drawing>
          <wp:inline>
            <wp:extent cx="3733800" cy="1833840"/>
            <wp:effectExtent b="0" l="0" r="0" t="0"/>
            <wp:docPr descr="Рис. 3: Генерация репозитория" title="" id="39" name="Picture"/>
            <a:graphic>
              <a:graphicData uri="http://schemas.openxmlformats.org/drawingml/2006/picture">
                <pic:pic>
                  <pic:nvPicPr>
                    <pic:cNvPr descr="image/003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3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Генерация репозитория</w:t>
      </w:r>
    </w:p>
    <w:bookmarkEnd w:id="41"/>
    <w:p>
      <w:pPr>
        <w:pStyle w:val="BodyText"/>
      </w:pPr>
      <w:r>
        <w:t xml:space="preserve">Посетил загатовку своего сайта (рис. 4).</w:t>
      </w:r>
    </w:p>
    <w:bookmarkStart w:id="45" w:name="fig:004"/>
    <w:p>
      <w:pPr>
        <w:pStyle w:val="CaptionedFigure"/>
      </w:pPr>
      <w:r>
        <w:drawing>
          <wp:inline>
            <wp:extent cx="3733800" cy="1824116"/>
            <wp:effectExtent b="0" l="0" r="0" t="0"/>
            <wp:docPr descr="Рис. 4: Генерация репозитория" title="" id="43" name="Picture"/>
            <a:graphic>
              <a:graphicData uri="http://schemas.openxmlformats.org/drawingml/2006/picture">
                <pic:pic>
                  <pic:nvPicPr>
                    <pic:cNvPr descr="image/004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4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Генерация репозитория</w:t>
      </w:r>
    </w:p>
    <w:bookmarkEnd w:id="45"/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Проведенная работа доказала свою практическую ценность и научную обоснованность. Добавление ссылок на научные и библиометрические ресурсы стало эффективным инструментом повышения качества веб-сайта, отвечающим современным требованиям научной коммуникации. Реализация проекта создала прочную основу для дальнейшего развития ресурса как авторитетной платформы для исследовательского сообщества.</w:t>
      </w:r>
    </w:p>
    <w:bookmarkEnd w:id="47"/>
    <w:bookmarkStart w:id="49" w:name="список-литературы"/>
    <w:p>
      <w:pPr>
        <w:pStyle w:val="Heading1"/>
      </w:pPr>
      <w:r>
        <w:t xml:space="preserve">Список литературы</w:t>
      </w:r>
    </w:p>
    <w:bookmarkStart w:id="48" w:name="refs"/>
    <w:bookmarkEnd w:id="48"/>
    <w:bookmarkEnd w:id="4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Добавление к сайту недостающих элементов.</dc:title>
  <dc:creator>Козомазов Владимир Романович</dc:creator>
  <dc:language>ru-RU</dc:language>
  <cp:keywords/>
  <dcterms:created xsi:type="dcterms:W3CDTF">2025-05-17T20:40:53Z</dcterms:created>
  <dcterms:modified xsi:type="dcterms:W3CDTF">2025-05-17T20:40:53Z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Этап 5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