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РОБОДОВОД — комплект финального выпуска</w:t>
      </w:r>
    </w:p>
    <w:p>
      <w:r>
        <w:t>Дата: 27.09.2026. Основной расчётный объект — склад. Результат является</w:t>
      </w:r>
    </w:p>
    <w:p>
      <w:r>
        <w:t>предварительным ТЭО, требует обследования и подтверждения коммерческих условий.</w:t>
      </w:r>
    </w:p>
    <w:p>
      <w:r>
        <w:t>Production-приёмка, demo-учётные записи и release tag фиксируются отдельно</w:t>
      </w:r>
    </w:p>
    <w:p>
      <w:r>
        <w:t>после проверок; наличие этого документа не означает их завершения.</w:t>
      </w:r>
    </w:p>
    <w:p>
      <w:pPr>
        <w:pStyle w:val="Heading1"/>
      </w:pPr>
      <w:r>
        <w:t>Пользователь: от входов до отчёта</w:t>
      </w:r>
    </w:p>
    <w:p>
      <w:r>
        <w:t>1. Без регистрации откройте «Попробовать демо». Типовой склад содержит 2000</w:t>
      </w:r>
    </w:p>
    <w:p>
      <w:r>
        <w:t xml:space="preserve">   паллет/сутки, две смены по 11 часов, 120 м в одну сторону и 90 с обмена.</w:t>
      </w:r>
    </w:p>
    <w:p>
      <w:r>
        <w:t xml:space="preserve">   Посмотрите парк, покупку/RaaS, очередь, 2D/3D и скачайте PDF/ZIP. Данные</w:t>
      </w:r>
    </w:p>
    <w:p>
      <w:r>
        <w:t xml:space="preserve">   учебные; демо не вызывает YC и не создаёт пользовательский проект.</w:t>
      </w:r>
    </w:p>
    <w:p>
      <w:r>
        <w:t>2. Зарегистрируйтесь, создайте проект в «Мои проекты». Название выбранного</w:t>
      </w:r>
    </w:p>
    <w:p>
      <w:r>
        <w:t xml:space="preserve">   проекта отображается в шапке и сохраняется при перезагрузке страницы.</w:t>
      </w:r>
    </w:p>
    <w:p>
      <w:r>
        <w:t>3. Для собственного склада задайте 220 паллет/сутки, 120 м, число смен,</w:t>
      </w:r>
    </w:p>
    <w:p>
      <w:r>
        <w:t xml:space="preserve">   продолжительность, рабочих дней, паллет за рейс и время обмена. Введите</w:t>
      </w:r>
    </w:p>
    <w:p>
      <w:r>
        <w:t xml:space="preserve">   значения вручную или через «Моделирование процесса». Brain извлекает</w:t>
      </w:r>
    </w:p>
    <w:p>
      <w:r>
        <w:t xml:space="preserve">   предложения; отдельно проверьте и подтвердите факты. Отказ YC сохраняет</w:t>
      </w:r>
    </w:p>
    <w:p>
      <w:r>
        <w:t xml:space="preserve">   текст и оставляет ручную правку и повтор сохранённого сообщения доступными.</w:t>
      </w:r>
    </w:p>
    <w:p>
      <w:r>
        <w:t>4. Альтернатива: «Шаблоны и загрузка данных» → пустой XLSX/CSV или demo →</w:t>
      </w:r>
    </w:p>
    <w:p>
      <w:r>
        <w:t xml:space="preserve">   заполнение → preview/diff → применение новой версии → подтверждение.</w:t>
      </w:r>
    </w:p>
    <w:p>
      <w:r>
        <w:t xml:space="preserve">   UNKNOWN означает отсутствие данных; ASSUMPTION — сценарное допущение.</w:t>
      </w:r>
    </w:p>
    <w:p>
      <w:r>
        <w:t xml:space="preserve">   Склад, аэропорт и клиника имеют отдельные паспорта. Расчётные формулы</w:t>
      </w:r>
    </w:p>
    <w:p>
      <w:r>
        <w:t xml:space="preserve">   доступны только поддержанным процессам, остальные данные сохраняются.</w:t>
      </w:r>
    </w:p>
    <w:p>
      <w:r>
        <w:t>5. Каталог отфильтруйте по объекту/процессу, физическим ограничениям и качеству</w:t>
      </w:r>
    </w:p>
    <w:p>
      <w:r>
        <w:t xml:space="preserve">   данных. INCLUDED не заменяет обследование; EXCLUDED содержит причину;</w:t>
      </w:r>
    </w:p>
    <w:p>
      <w:r>
        <w:t xml:space="preserve">   REQUIRES_CHECK требует уточнения. Информационное сравнение не разрешает</w:t>
      </w:r>
    </w:p>
    <w:p>
      <w:r>
        <w:t xml:space="preserve">   использовать неподдержанный физический профиль в расчёте.</w:t>
      </w:r>
    </w:p>
    <w:p>
      <w:r>
        <w:t>6. Выполните C11. Проверьте спрос, эффективную мощность и парк. Для денежной</w:t>
      </w:r>
    </w:p>
    <w:p>
      <w:r>
        <w:t xml:space="preserve">   ветки задайте зарплату gross, состав затрат, цену/валюту/НДС, обслуживание,</w:t>
      </w:r>
    </w:p>
    <w:p>
      <w:r>
        <w:t xml:space="preserve">   горизонт и ставку дисконтирования. Без них денежный результат частичный.</w:t>
      </w:r>
    </w:p>
    <w:p>
      <w:r>
        <w:t>7. Сравните baseline, покупку и услугу, cashflows, CAPEX/OPEX, NPV, TCO,</w:t>
      </w:r>
    </w:p>
    <w:p>
      <w:r>
        <w:t xml:space="preserve">   окупаемость и чувствительность ±10%. ROI покупки имеет базу CAPEX;</w:t>
      </w:r>
    </w:p>
    <w:p>
      <w:r>
        <w:t xml:space="preserve">   услуга не должна сравниваться с ней под неоговорённым знаменателем.</w:t>
      </w:r>
    </w:p>
    <w:p>
      <w:r>
        <w:t>8. Выберите сохранённый физический сценарий, запустите симуляцию. 2D и 3D</w:t>
      </w:r>
    </w:p>
    <w:p>
      <w:r>
        <w:t xml:space="preserve">   читают одну привязку к ScenarioSpec/C23. Финансовый вариант и физический</w:t>
      </w:r>
    </w:p>
    <w:p>
      <w:r>
        <w:t xml:space="preserve">   сценарий — отдельные сущности. Зарядная точка и геометрия условны.</w:t>
      </w:r>
    </w:p>
    <w:p>
      <w:r>
        <w:t>9. Скачайте PDF, XLSX, CSV, SVG и полный ZIP. Экспорт читает сохранённые</w:t>
      </w:r>
    </w:p>
    <w:p>
      <w:r>
        <w:t xml:space="preserve">   снимки и manifest/digests. Новая правка создаёт новую версию; история</w:t>
      </w:r>
    </w:p>
    <w:p>
      <w:r>
        <w:t xml:space="preserve">   и сохранённые simulation artifacts остаются прежними.</w:t>
      </w:r>
    </w:p>
    <w:p>
      <w:pPr>
        <w:pStyle w:val="Heading1"/>
      </w:pPr>
      <w:r>
        <w:t>Администратор</w:t>
      </w:r>
    </w:p>
    <w:p>
      <w:r>
        <w:t>Меню «Каталог и источники» доступно только ADMIN. Выберите опубликованную</w:t>
      </w:r>
    </w:p>
    <w:p>
      <w:r>
        <w:t>версию и создайте свой черновик с новым кодом. Редактируйте модели, отдельные</w:t>
      </w:r>
    </w:p>
    <w:p>
      <w:r>
        <w:t>предложения, характеристики, источники, разрешённые нормы и справочники.</w:t>
      </w:r>
    </w:p>
    <w:p>
      <w:r>
        <w:t>Неизвестные значения оставляйте пустыми, фиксируйте статус доказательства,</w:t>
      </w:r>
    </w:p>
    <w:p>
      <w:r>
        <w:t>дату и источник. JSON импорт проходит проверку и diff. Затем сохраните,</w:t>
      </w:r>
    </w:p>
    <w:p>
      <w:r>
        <w:t>validate, publish и отдельно activate выбранные slots. Публикация не меняет</w:t>
      </w:r>
    </w:p>
    <w:p>
      <w:r>
        <w:t>исторические расчёты; новая физическая модель требует источников и rollout.</w:t>
      </w:r>
    </w:p>
    <w:p>
      <w:r>
        <w:t>Переключение discovery не означает автоматическое разрешение capacity.</w:t>
      </w:r>
    </w:p>
    <w:p>
      <w:r>
        <w:t>Пользователи и роли управляются в отдельной странице «Пользователи».</w:t>
      </w:r>
    </w:p>
    <w:p>
      <w:pPr>
        <w:pStyle w:val="Heading1"/>
      </w:pPr>
      <w:r>
        <w:t>Архитектура, данные и API</w:t>
      </w:r>
    </w:p>
    <w:p>
      <w:r>
        <w:t>React/Vite отвечает за ввод, меню и представление. FastAPI/Pydantic проверяют</w:t>
      </w:r>
    </w:p>
    <w:p>
      <w:r>
        <w:t>контракты, SQLAlchemy/Alembic хранят PostgreSQL-модели. Серверное числовое ядро</w:t>
      </w:r>
    </w:p>
    <w:p>
      <w:r>
        <w:t>отделено от DeepSeek V4 Flash. RobCraft визуализирует результат, не выносит</w:t>
      </w:r>
    </w:p>
    <w:p>
      <w:r>
        <w:t>независимого решения о пригодности. Docker Compose разворачивает PostgreSQL,</w:t>
      </w:r>
    </w:p>
    <w:p>
      <w:r>
        <w:t>миграции, backend, nginx frontend; Caddy обеспечивает HTTPS.</w:t>
      </w:r>
    </w:p>
    <w:p>
      <w:r>
        <w:t>Project/Scenario содержат текущий ввод. AnalysisRun хранит immutable input,</w:t>
      </w:r>
    </w:p>
    <w:p>
      <w:r>
        <w:t>result, trace, ScenarioSpec, версии модели/каталога и checksums. Артефакт</w:t>
      </w:r>
    </w:p>
    <w:p>
      <w:r>
        <w:t>симуляции связывается с конкретным run и digests. Каталог имеет версионированные</w:t>
      </w:r>
    </w:p>
    <w:p>
      <w:r>
        <w:t>источники, модели, позиции/предложения, поля evidence и slots активации.</w:t>
      </w:r>
    </w:p>
    <w:p>
      <w:r>
        <w:t>Brain-профиль версионируется в Project.profile и сохраняется до внешнего вызова.</w:t>
      </w:r>
    </w:p>
    <w:p>
      <w:r>
        <w:t>Актуальный контракт: `/openapi.json` и `/docs`, статический снимок находится</w:t>
      </w:r>
    </w:p>
    <w:p>
      <w:r>
        <w:t>в комплекте F8. Основные маршруты: `/api/auth/*`, `/api/projects`,</w:t>
      </w:r>
    </w:p>
    <w:p>
      <w:r>
        <w:t>`/api/brain/projects/{id}`, `/api/catalog/*`, `/api/admin/catalog/*`,</w:t>
      </w:r>
    </w:p>
    <w:p>
      <w:r>
        <w:t>`/api/v2/projects/{id}/capacity-runs`, economics-runs и `/api/v2/simulations/*`.</w:t>
      </w:r>
    </w:p>
    <w:p>
      <w:r>
        <w:t>Авторизация cookie; изменяющие запросы требуют CSRF; project/run проверяются</w:t>
      </w:r>
    </w:p>
    <w:p>
      <w:r>
        <w:t>по владельцу. Будущие WMS/ERP/1С могут передавать измеренные входы через</w:t>
      </w:r>
    </w:p>
    <w:p>
      <w:r>
        <w:t>версионированный intake API или workbook; мониторинг должен хранить отдельные</w:t>
      </w:r>
    </w:p>
    <w:p>
      <w:r>
        <w:t>timestamped наблюдения и не заменять прошлые snapshots. Интеграция с ФЦ БАС</w:t>
      </w:r>
    </w:p>
    <w:p>
      <w:r>
        <w:t>предполагает согласованный импорт версий каталога, provenance и validation.</w:t>
      </w:r>
    </w:p>
    <w:p>
      <w:r>
        <w:t>Прямое подключение к этим системам в данном выпуске не реализовано.</w:t>
      </w:r>
    </w:p>
    <w:p>
      <w:pPr>
        <w:pStyle w:val="Heading1"/>
      </w:pPr>
      <w:r>
        <w:t>Числовая модель и ограничения</w:t>
      </w:r>
    </w:p>
    <w:p>
      <w:r>
        <w:t>Подбор последовательно проверяет классификацию процесса, supported profile,</w:t>
      </w:r>
    </w:p>
    <w:p>
      <w:r>
        <w:t>известные ограничения массы/проходов/среды и полноту исходных данных. Hard fail</w:t>
      </w:r>
    </w:p>
    <w:p>
      <w:r>
        <w:t>не превращается в PASS; неизвестное не заменяется нулём. C11 учитывает путь</w:t>
      </w:r>
    </w:p>
    <w:p>
      <w:r>
        <w:t>туда/обратно, скорость, обмен, пакет, график и коэффициенты эффективности;</w:t>
      </w:r>
    </w:p>
    <w:p>
      <w:r>
        <w:t>парк округляется вверх. Нормативы производительности — входы модели, а не</w:t>
      </w:r>
    </w:p>
    <w:p>
      <w:r>
        <w:t>результат реального испытания робота. C23 проверяет поток, очереди и график.</w:t>
      </w:r>
    </w:p>
    <w:p>
      <w:r>
        <w:t>CAPEX — единовременные затраты с явной границей включений. OPEX включает</w:t>
      </w:r>
    </w:p>
    <w:p>
      <w:r>
        <w:t>обслуживание, энергию, труд и другие подтверждённые статьи. RaaS учитывает</w:t>
      </w:r>
    </w:p>
    <w:p>
      <w:r>
        <w:t>согласованную периодичность оплаты и состав услуги. TCO суммирует затраты</w:t>
      </w:r>
    </w:p>
    <w:p>
      <w:r>
        <w:t>на общем горизонте; NPV дисконтирует годовые cashflows; окупаемость может</w:t>
      </w:r>
    </w:p>
    <w:p>
      <w:r>
        <w:t>быть недостигнута и должна оставаться N/A. Амортизация относится к выбранной</w:t>
      </w:r>
    </w:p>
    <w:p>
      <w:r>
        <w:t>учётной модели и не подменяет денежный отток. Воспроизводимые реализации и</w:t>
      </w:r>
    </w:p>
    <w:p>
      <w:r>
        <w:t>формулы находятся в backend/calculation, registry и сохранённом trace.</w:t>
      </w:r>
    </w:p>
    <w:p>
      <w:r>
        <w:t>Нет инженерной сертификации, закупочной рекомендации, автоматического</w:t>
      </w:r>
    </w:p>
    <w:p>
      <w:r>
        <w:t>измерения геометрии, полной роботизации отбора, живых WMS/ERP и мониторинга.</w:t>
      </w:r>
    </w:p>
    <w:p>
      <w:r>
        <w:t>Публичные цены/ТТХ требуют подтверждения. Отсутствие SLA/неизвестная валюта</w:t>
      </w:r>
    </w:p>
    <w:p>
      <w:r>
        <w:t>явно показываются. Данные аэропорта и клиники демонстрируют выбор, паспорт</w:t>
      </w:r>
    </w:p>
    <w:p>
      <w:r>
        <w:t>и релевантный каталог; склад — полный расчётный путь.</w:t>
      </w:r>
    </w:p>
    <w:p>
      <w:pPr>
        <w:pStyle w:val="Heading1"/>
      </w:pPr>
      <w:r>
        <w:t>Запуск и обновление</w:t>
      </w:r>
    </w:p>
    <w:p>
      <w:r>
        <w:t>Используйте README и docs/PRODUCTION_DEPLOYMENT.md для начальной настройки</w:t>
      </w:r>
    </w:p>
    <w:p>
      <w:r>
        <w:t>секретов PostgreSQL/приложения. Не публикуйте .env и пароли demo-доступов.</w:t>
      </w:r>
    </w:p>
    <w:p>
      <w:r>
        <w:t>Обычный локальный Docker запуск после заполнения .env:</w:t>
      </w:r>
    </w:p>
    <w:p>
      <w:r>
        <w:rPr>
          <w:rFonts w:ascii="Consolas" w:hAnsi="Consolas"/>
        </w:rPr>
        <w:t>docker compose up --build -d</w:t>
      </w:r>
    </w:p>
    <w:p>
      <w:r>
        <w:rPr>
          <w:rFonts w:ascii="Consolas" w:hAnsi="Consolas"/>
        </w:rPr>
        <w:t>curl.exe -f http://localhost:8000/ready</w:t>
      </w:r>
    </w:p>
    <w:p>
      <w:r>
        <w:t>Для production обновления используйте закреплённый release и существующий</w:t>
      </w:r>
    </w:p>
    <w:p>
      <w:r>
        <w:t>.env.production; новые YC-переменные не требуются. Миграция 0012 создаёт</w:t>
      </w:r>
    </w:p>
    <w:p>
      <w:r>
        <w:t>админский каталог. Точные команды и HTTPS smoke приложены в отчёте F8.</w:t>
      </w:r>
    </w:p>
    <w:p>
      <w:r>
        <w:t>Не выполняйте down -v, downgrade или rewrite старых runs.</w:t>
      </w:r>
    </w:p>
    <w:p>
      <w:pPr>
        <w:pStyle w:val="Heading1"/>
      </w:pPr>
      <w:r>
        <w:t>Источники и библиотеки</w:t>
      </w:r>
    </w:p>
    <w:p>
      <w:r>
        <w:t>Источник исходных профилей и каталога — материалы организаторов ФЦ БАС,</w:t>
      </w:r>
    </w:p>
    <w:p>
      <w:r>
        <w:t>дополнительные поля имеют собственные source refs/evidence. Условия</w:t>
      </w:r>
    </w:p>
    <w:p>
      <w:r>
        <w:t>распространения исходных PDF следует согласовать с правообладателем;</w:t>
      </w:r>
    </w:p>
    <w:p>
      <w:r>
        <w:t>обезличенный sample package отделён от диагностического архива.</w:t>
      </w:r>
    </w:p>
    <w:p>
      <w:r>
        <w:t>Зависимости backend перечислены в requirements.txt; frontend — в package-lock,</w:t>
      </w:r>
    </w:p>
    <w:p>
      <w:r>
        <w:t>RobCraft — в package.json. React/Vite/FastAPI/Pydantic/SQLAlchemy/Alembic,</w:t>
      </w:r>
    </w:p>
    <w:p>
      <w:r>
        <w:t>Pillow/openpyxl/pypdf, requests, psycopg, argon2-cffi, html2canvas/jsPDF и</w:t>
      </w:r>
    </w:p>
    <w:p>
      <w:r>
        <w:t>Docker-образы имеют отдельные лицензии. Инвентаризация лицензий приложена</w:t>
      </w:r>
    </w:p>
    <w:p>
      <w:r>
        <w:t>к комплекту; она не заменяет права на внешние данные.</w:t>
      </w:r>
    </w:p>
    <w:p>
      <w:pPr>
        <w:pStyle w:val="Heading1"/>
      </w:pPr>
      <w:r>
        <w:t>Короткий сценарий показа — 7 минут</w:t>
      </w:r>
    </w:p>
    <w:p>
      <w:r>
        <w:t>0:00–1:00 — guest demo, охват и ограничения типового склада.</w:t>
      </w:r>
    </w:p>
    <w:p>
      <w:r>
        <w:t>1:00–2:30 — проект, ввод 220/120 и подтверждение; XLSX preview как альтернатива.</w:t>
      </w:r>
    </w:p>
    <w:p>
      <w:r>
        <w:t>2:30–3:30 — фильтр каталога, причины выбора, C11 и источник производительности.</w:t>
      </w:r>
    </w:p>
    <w:p>
      <w:r>
        <w:t>3:30–4:30 — baseline/покупка/RaaS, NPV/TCO/ROI, sensitivity и неизвестные цены.</w:t>
      </w:r>
    </w:p>
    <w:p>
      <w:r>
        <w:t>4:30–5:30 — сохранённый физический сценарий, C23, 2D/3D, условная зарядка.</w:t>
      </w:r>
    </w:p>
    <w:p>
      <w:r>
        <w:t>5:30–6:15 — PDF/XLSX/CSV/SVG/ZIP и reopen истории.</w:t>
      </w:r>
    </w:p>
    <w:p>
      <w:r>
        <w:t>6:15–7:00 — ADMIN черновик, источник, проверка и публикация; итоговые ограничения.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