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TeamContext, ThemeContext, ToastContext, ConfirmContext) exposés via des hooks personnalisés (useAuth, useTeam,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team_id: teamId,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[teamId,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teams, team_members, shifts) ;</w:t>
            </w:r>
            <w:r>
              <w:br/>
            </w:r>
            <w:r>
              <w:t xml:space="preserve">• MLD avec clé primaire composite sur team_members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requireTeamMember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requireTeamMember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requireTeamMember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(calendar/:token/team/:teamId.ics)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