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73EF" w14:textId="77777777" w:rsidR="007B5B5C" w:rsidRDefault="007B5B5C" w:rsidP="007B5B5C">
      <w:pPr>
        <w:pStyle w:val="1"/>
      </w:pPr>
      <w:bookmarkStart w:id="0" w:name="_Toc181787949"/>
      <w:bookmarkStart w:id="1" w:name="_Toc181788080"/>
      <w:r>
        <w:t>Описание компонентов сети Private LTE МиаТел</w:t>
      </w:r>
      <w:bookmarkEnd w:id="0"/>
      <w:bookmarkEnd w:id="1"/>
    </w:p>
    <w:p w14:paraId="038B54BF" w14:textId="77777777" w:rsidR="007B5B5C" w:rsidRPr="000266A7" w:rsidRDefault="007B5B5C" w:rsidP="007B5B5C">
      <w:pPr>
        <w:pStyle w:val="a3"/>
      </w:pPr>
      <w:r>
        <w:br/>
      </w:r>
      <w:r>
        <w:rPr>
          <w:rStyle w:val="a4"/>
        </w:rPr>
        <w:t>Домашний сервер подписок (HSS)</w:t>
      </w:r>
      <w:r>
        <w:br/>
        <w:t>Home Subscriber Server МиаТел является централизованной базой данных профилей абонентов, которые зарегистрированы в ней для использования частной сети LTE.</w:t>
      </w:r>
      <w:r>
        <w:br/>
        <w:t>HSS МиаТел содержит следующую информацию об абонентах частной сети LTE:</w:t>
      </w:r>
    </w:p>
    <w:p w14:paraId="133ECA5A" w14:textId="77777777" w:rsidR="007B5B5C" w:rsidRDefault="007B5B5C" w:rsidP="007B5B5C">
      <w:pPr>
        <w:numPr>
          <w:ilvl w:val="0"/>
          <w:numId w:val="1"/>
        </w:numPr>
        <w:spacing w:before="100" w:beforeAutospacing="1" w:after="100" w:afterAutospacing="1"/>
      </w:pPr>
      <w:r>
        <w:t>Основные данные учетной записи: выделенные абоненту идентификаторы IMSI и абонентский номер MSISDN</w:t>
      </w:r>
    </w:p>
    <w:p w14:paraId="6AE5A38D" w14:textId="77777777" w:rsidR="007B5B5C" w:rsidRDefault="007B5B5C" w:rsidP="007B5B5C">
      <w:pPr>
        <w:numPr>
          <w:ilvl w:val="0"/>
          <w:numId w:val="1"/>
        </w:numPr>
        <w:spacing w:before="100" w:beforeAutospacing="1" w:after="100" w:afterAutospacing="1"/>
      </w:pPr>
      <w:r>
        <w:t>Статус учетной записи (активна/заблокирована)</w:t>
      </w:r>
    </w:p>
    <w:p w14:paraId="06C055A8" w14:textId="77777777" w:rsidR="007B5B5C" w:rsidRDefault="007B5B5C" w:rsidP="007B5B5C">
      <w:pPr>
        <w:numPr>
          <w:ilvl w:val="0"/>
          <w:numId w:val="1"/>
        </w:numPr>
        <w:spacing w:before="100" w:beforeAutospacing="1" w:after="100" w:afterAutospacing="1"/>
      </w:pPr>
      <w:r>
        <w:t>Пользовательские настройки абонента;</w:t>
      </w:r>
    </w:p>
    <w:p w14:paraId="1BA2C435" w14:textId="77777777" w:rsidR="007B5B5C" w:rsidRDefault="007B5B5C" w:rsidP="007B5B5C">
      <w:pPr>
        <w:numPr>
          <w:ilvl w:val="0"/>
          <w:numId w:val="1"/>
        </w:numPr>
        <w:spacing w:before="100" w:beforeAutospacing="1" w:after="100" w:afterAutospacing="1"/>
      </w:pPr>
      <w:r>
        <w:t>Функции, на которые подписан абонент, включая APN, на который (которые) подписан абонент;</w:t>
      </w:r>
    </w:p>
    <w:p w14:paraId="4E4DE53E" w14:textId="77777777" w:rsidR="007B5B5C" w:rsidRDefault="007B5B5C" w:rsidP="007B5B5C">
      <w:pPr>
        <w:numPr>
          <w:ilvl w:val="0"/>
          <w:numId w:val="1"/>
        </w:numPr>
        <w:spacing w:before="100" w:beforeAutospacing="1" w:after="100" w:afterAutospacing="1"/>
      </w:pPr>
      <w:r>
        <w:t>Текущее местоположение абонента.</w:t>
      </w:r>
    </w:p>
    <w:p w14:paraId="1D605A03" w14:textId="77777777" w:rsidR="007B5B5C" w:rsidRPr="000266A7" w:rsidRDefault="007B5B5C" w:rsidP="007B5B5C">
      <w:pPr>
        <w:pStyle w:val="a3"/>
      </w:pPr>
      <w:r>
        <w:t>Интегрированный в HSS центр аутентификации (AuC) поддерживает все основные алгоритмы аутентификации, такие как Milenage и COMP 128.</w:t>
      </w:r>
      <w:r>
        <w:br/>
        <w:t>Абонентские данные HSS организованы в соответствии со стандартами ETSI/3GPP (TS 23.008 и др.); HSS поддерживает интерфейс S6a для интеграции c MME в сети LTE, полностью соответствующий стандартам ETSI/3GPP (TS 29.272 и др.), что обеспечивает совместимость оборудования МиаТел HSS с сетевыми элементами любого поставщика.</w:t>
      </w:r>
      <w:r>
        <w:br/>
        <w:t>EPC-HSS использует профиль абонента Packet-Switched Domain, совместимый с 3GPP Release 6. В абонентский профиль добавлены новые поля подписки, необходимые для LTE.</w:t>
      </w:r>
      <w:r>
        <w:br/>
        <w:t xml:space="preserve">Контекст PDN/EPS, необходимый для LTE, поддерживается наряду с контекстом GPRS, используемым для сетей GPRS/UMTS. </w:t>
      </w:r>
      <w:r>
        <w:br/>
        <w:t xml:space="preserve">HSS МиаТел имеет удобный интерфейс, а также реализует интерфейс провиженинга для интеграции с BSS оператора и выполнения соответствующих операций управления абонентскими профилями. </w:t>
      </w:r>
      <w:r>
        <w:br/>
      </w:r>
      <w:r>
        <w:br/>
      </w:r>
      <w:r>
        <w:rPr>
          <w:rStyle w:val="a4"/>
        </w:rPr>
        <w:t>МиаТел</w:t>
      </w:r>
      <w:r>
        <w:t xml:space="preserve"> </w:t>
      </w:r>
      <w:r>
        <w:rPr>
          <w:rStyle w:val="a4"/>
        </w:rPr>
        <w:t>EPC</w:t>
      </w:r>
      <w:r>
        <w:br/>
        <w:t>МиаТел EPC — это набор функциональных компонентов для развертывания LTE Evolved Packet Core (EPC), реализующих функционал всех необходимых сетевых элементов EPC.</w:t>
      </w:r>
      <w:r>
        <w:br/>
        <w:t>МиаТел EPC содержит следующие функциональные компоненты:</w:t>
      </w:r>
    </w:p>
    <w:p w14:paraId="1469DA71" w14:textId="77777777" w:rsidR="007B5B5C" w:rsidRDefault="007B5B5C" w:rsidP="007B5B5C">
      <w:pPr>
        <w:numPr>
          <w:ilvl w:val="0"/>
          <w:numId w:val="2"/>
        </w:numPr>
        <w:spacing w:before="100" w:beforeAutospacing="1" w:after="100" w:afterAutospacing="1"/>
      </w:pPr>
      <w:r>
        <w:t>MME;</w:t>
      </w:r>
    </w:p>
    <w:p w14:paraId="3BEDE11D" w14:textId="77777777" w:rsidR="007B5B5C" w:rsidRDefault="007B5B5C" w:rsidP="007B5B5C">
      <w:pPr>
        <w:numPr>
          <w:ilvl w:val="0"/>
          <w:numId w:val="2"/>
        </w:numPr>
        <w:spacing w:before="100" w:beforeAutospacing="1" w:after="100" w:afterAutospacing="1"/>
      </w:pPr>
      <w:r>
        <w:t>SGW (Serving GW);</w:t>
      </w:r>
    </w:p>
    <w:p w14:paraId="2FE1FAFD" w14:textId="77777777" w:rsidR="007B5B5C" w:rsidRDefault="007B5B5C" w:rsidP="007B5B5C">
      <w:pPr>
        <w:numPr>
          <w:ilvl w:val="0"/>
          <w:numId w:val="2"/>
        </w:numPr>
        <w:spacing w:before="100" w:beforeAutospacing="1" w:after="100" w:afterAutospacing="1"/>
      </w:pPr>
      <w:r>
        <w:t>PDN GW (PGW)/GGSN, совмещенный на одном узле с PCRF;</w:t>
      </w:r>
    </w:p>
    <w:p w14:paraId="0B669381" w14:textId="77777777" w:rsidR="007B5B5C" w:rsidRDefault="007B5B5C" w:rsidP="007B5B5C">
      <w:pPr>
        <w:numPr>
          <w:ilvl w:val="0"/>
          <w:numId w:val="2"/>
        </w:numPr>
        <w:spacing w:before="100" w:beforeAutospacing="1" w:after="100" w:afterAutospacing="1"/>
      </w:pPr>
      <w:r>
        <w:t>HLR/HSS.</w:t>
      </w:r>
    </w:p>
    <w:p w14:paraId="79357C4C" w14:textId="77777777" w:rsidR="007B5B5C" w:rsidRPr="000266A7" w:rsidRDefault="007B5B5C" w:rsidP="007B5B5C">
      <w:pPr>
        <w:pStyle w:val="a3"/>
        <w:spacing w:after="240" w:afterAutospacing="0"/>
      </w:pPr>
      <w:r>
        <w:t>Функциональны компоненты МиаТел EPC могут размещаться на аппаратных/виртуальных платформах по отдельности либо на одной платформе можно рзавернуть все необходимые функциональные элементы, тем самым снижая затраты на аппаратные ресурсы, необходимые для построения ядра частной сети LTE, а также ускоряя и удешевляя развертывание.</w:t>
      </w:r>
      <w:r>
        <w:br/>
        <w:t>Элементы МиаТел EPC поддерживают до 100 тысяч одновременно подключенных абонентов на узел, что позволяет использовать МиаТел для построения крупных частных сетей Private LTE с различной топологией сети.</w:t>
      </w:r>
      <w:r>
        <w:br/>
      </w:r>
      <w:r>
        <w:lastRenderedPageBreak/>
        <w:t xml:space="preserve">МиаТел EPC реализует плоскую архитектуру LTE, которая обеспечивает высокую пропускную способность и минимизирует задержки при передачи пользовательских данных. </w:t>
      </w:r>
      <w:r>
        <w:br/>
        <w:t>МиаТел EPC также содержит функционал GGSN, позволяющий подключать внешний SGSN для взаимодействия с устаревшими сетями доступа GPRS/UMTS (2G/3G).</w:t>
      </w:r>
      <w:r>
        <w:br/>
        <w:t>МиаТел EPC поддерживает интерфейсы для взаимодействия с различными типами базовых станций E-UTRAN, включая микро- и пико-базовые станции eNodeB, используемые для построения частных сетей LTE.</w:t>
      </w:r>
      <w:r>
        <w:br/>
        <w:t>МиаТел EPC поддерживает QoS в сети LTE для реализации необходимых в частной сети LTE SLA (соглашений об уровне обслуживания), поддерживает использование выделенных несущих Dedicated bearer, позволяя эффективно использовать имеющиеся сетевые ресурсы</w:t>
      </w:r>
      <w:r>
        <w:br/>
        <w:t xml:space="preserve">Компоненты EPC обеспечивают функциональность контроля доступа, маршрутизации и передачи пакетов, управления мобильностью, безопасностью, контроль радиоресурсов и управления сетью. </w:t>
      </w:r>
      <w:r>
        <w:br/>
      </w:r>
      <w:r>
        <w:rPr>
          <w:rStyle w:val="a4"/>
        </w:rPr>
        <w:t>GGSN/PDN</w:t>
      </w:r>
      <w:r>
        <w:t xml:space="preserve"> </w:t>
      </w:r>
      <w:r>
        <w:rPr>
          <w:rStyle w:val="a4"/>
        </w:rPr>
        <w:t>GW</w:t>
      </w:r>
      <w:r>
        <w:br/>
        <w:t>Сетевой элемент МиаТел GGSN/PGW реализует совмещенный функционал шлюза поддержки GPRS (GGSN) для сетей GPRS/UMTS и шлюза сети пакетной передачи данных (PDN-GW) в архитектуре сетей 4G/LTE.</w:t>
      </w:r>
      <w:r>
        <w:br/>
        <w:t>Узел GPRS/PGW является ключевым компонентом сети EPC частной сети LTE, отвечающим за управление подключением абонента к пакетной сети, установкой контекста в запрашиваемом APN, созданием и управлением выделенных несущих Dedicated bearer. Узел GGSN/PGW дополнительно позволяет формировать запросы аутентификации к корпоративному серверу RADIUS, а также взаимодействует с DNS-серверами для разрешения IP-адреса в назначенном APN.</w:t>
      </w:r>
      <w:r>
        <w:br/>
        <w:t>Узел GPRS/PGW использует протокол GTP-C для реализации функций управления подключением к пакетной сети.</w:t>
      </w:r>
      <w:r>
        <w:br/>
        <w:t>Узел GPRS/PGW также обеспечивает маршрутизацию пользовательских данных, получаемых из сети доступа или SGSN/SGW по протоколу GTP-U и внешними IP-сетями, такими как корпоративная сеть предприятия – владельца частной сети LTE.</w:t>
      </w:r>
      <w:r>
        <w:br/>
        <w:t>Также МиаТел GGSN/PGW реализует встроенный функционал PCRF, позволяющий управлять политиками QoS и создавать выделенные несущие (Dedicated bearer).</w:t>
      </w:r>
      <w:r>
        <w:br/>
        <w:t xml:space="preserve">МиаТел GGSN/PW разработан в полном соответствии со стандартами ETSI/3GPP. </w:t>
      </w:r>
      <w:r>
        <w:br/>
      </w:r>
      <w:r>
        <w:rPr>
          <w:rStyle w:val="a4"/>
        </w:rPr>
        <w:t>SGW</w:t>
      </w:r>
      <w:r>
        <w:br/>
        <w:t xml:space="preserve">МиаТел SGW маршрутизирует и пересылает пользовательские пакеты данных, а также выступает в качестве якоря мобильности в пользовательской плоскости во время выполнения хэндоверов между eNodeB и в качестве якоря для мобильности между LTE и другими технологиями 3GPP. </w:t>
      </w:r>
      <w:r>
        <w:br/>
        <w:t>SGW сохраняет информацию о носителях bearer во время нахождения UE в режиме ожидания. SGW управляет и хранит контексты UE, например, параметры bearer-ов IP, а также информацию о внутренней маршрутизации сети.</w:t>
      </w:r>
      <w:r>
        <w:br/>
        <w:t xml:space="preserve">МиаТел SGW поддерживает стандартные носители (default bearer) и выделенные носители (Dedicated bearer), в том числе несколько контекстов/несколько несущих на одного абонента, интерфейсы S5 и S8 для взаимодействия с PGW и S1-U для взаимодействия с eNodeB. </w:t>
      </w:r>
      <w:r>
        <w:br/>
      </w:r>
      <w:r>
        <w:rPr>
          <w:rStyle w:val="a4"/>
        </w:rPr>
        <w:t>MME</w:t>
      </w:r>
      <w:r>
        <w:br/>
        <w:t>МиаТел MME является ключевым узлом EPC управления сетью доступа LTE, который обрабатывает сигнализацию между UE и базовой сетью.</w:t>
      </w:r>
      <w:r>
        <w:br/>
        <w:t xml:space="preserve">Он управляет установлением, изменением и завершением контекстов и несущих (bearer), аутентификацией (путем взаимодействия с HSS) и обеспечением безопасности взаимодействия UE с сетью. </w:t>
      </w:r>
      <w:r>
        <w:br/>
        <w:t xml:space="preserve">МиаТел MME управляет мобильностью, отслеживанием местоположения UE и </w:t>
      </w:r>
      <w:r>
        <w:lastRenderedPageBreak/>
        <w:t xml:space="preserve">выполнением хэндовера, а также управляет профилем подписки и подключением к сервисам сети. Он проверяет авторизацию абонента (UE), и применяет ограничения роуминга для абонента UE, прописанные в IMSI-анализе. </w:t>
      </w:r>
      <w:r>
        <w:br/>
        <w:t>МиаТел MME реализован в полном соответствии с соответствующими стандартами ETSI/3GPP, и поддерживает все необходимые функции, такие как установление носителей по умолчанию (default bearer) и выделенных носителей (dedicated bearer), шифрование и защиту целостности сообщений NAS (Non-Access Strarum), все виды процедур сигнализации, включая подключение и отключение от сети LTE, выбор PGW и SGW, хэндворы S1, хэндоверы между SGW и хэндоверы между MME и т. д.</w:t>
      </w:r>
      <w:r>
        <w:br/>
        <w:t xml:space="preserve">МиаТел SGW поддерживает стандартный интерфейс S6a для взаимодействия с EPC-HSS, интерфейс S1-MME, а также интерфейсы SGs. </w:t>
      </w:r>
    </w:p>
    <w:p w14:paraId="13EE77E8" w14:textId="77777777" w:rsidR="007B5B5C" w:rsidRPr="00035C7B" w:rsidRDefault="007B5B5C" w:rsidP="007B5B5C">
      <w:pPr>
        <w:pStyle w:val="a3"/>
        <w:spacing w:after="240" w:afterAutospacing="0"/>
      </w:pPr>
    </w:p>
    <w:p w14:paraId="1F12DA10" w14:textId="77777777" w:rsidR="004F4A65" w:rsidRDefault="004F4A65"/>
    <w:sectPr w:rsidR="004F4A65" w:rsidSect="0056309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4B11"/>
    <w:multiLevelType w:val="multilevel"/>
    <w:tmpl w:val="383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87B44"/>
    <w:multiLevelType w:val="multilevel"/>
    <w:tmpl w:val="426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5C"/>
    <w:rsid w:val="004F4A65"/>
    <w:rsid w:val="0056309C"/>
    <w:rsid w:val="007B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C0F6"/>
  <w15:chartTrackingRefBased/>
  <w15:docId w15:val="{840D3565-DAB8-2647-9088-AEEAB9E4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B5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7B5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B5B5C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7B5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2025-02-24T10:16:00Z</dcterms:created>
  <dcterms:modified xsi:type="dcterms:W3CDTF">2025-02-24T10:16:00Z</dcterms:modified>
</cp:coreProperties>
</file>