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сохранение словаря </w:t>
      </w:r>
      <w:r w:rsidR="00965922">
        <w:rPr>
          <w:rFonts w:ascii="Times New Roman CYR" w:hAnsi="Times New Roman CYR" w:cs="Times New Roman CYR"/>
          <w:szCs w:val="28"/>
          <w:lang w:val="ru-RU"/>
        </w:rPr>
        <w:t>в файл</w:t>
      </w:r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307D38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</w:t>
      </w:r>
      <w:r w:rsidR="001D36E3">
        <w:rPr>
          <w:lang w:val="ru-RU"/>
        </w:rPr>
        <w:t>телей: администратор и пользователь</w:t>
      </w:r>
      <w:r w:rsidRPr="00B76E41">
        <w:rPr>
          <w:lang w:val="ru-RU"/>
        </w:rPr>
        <w:t>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</w:t>
      </w:r>
      <w:r w:rsidRPr="00B76E41">
        <w:rPr>
          <w:lang w:val="ru-RU"/>
        </w:rPr>
        <w:lastRenderedPageBreak/>
        <w:t>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9A4405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AA508F" wp14:editId="63207596">
            <wp:extent cx="5594132" cy="38538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227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3" w:rsidRDefault="001D36E3" w:rsidP="009F7A23">
      <w:pPr>
        <w:pStyle w:val="a9"/>
        <w:rPr>
          <w:lang w:eastAsia="ru-RU"/>
        </w:rPr>
      </w:pPr>
    </w:p>
    <w:p w:rsidR="001D36E3" w:rsidRPr="001D36E3" w:rsidRDefault="001D36E3" w:rsidP="001D36E3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</w:t>
      </w:r>
      <w:r w:rsidRPr="001D36E3">
        <w:rPr>
          <w:szCs w:val="28"/>
          <w:shd w:val="clear" w:color="auto" w:fill="FFFFFF"/>
          <w:lang w:val="ru-RU"/>
        </w:rPr>
        <w:t xml:space="preserve"> – Структурная схема системы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9A4405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</w:t>
      </w:r>
      <w:r w:rsidR="007272E1">
        <w:rPr>
          <w:szCs w:val="28"/>
          <w:shd w:val="clear" w:color="auto" w:fill="FFFFFF"/>
          <w:lang w:val="ru-RU"/>
        </w:rPr>
        <w:t xml:space="preserve"> </w:t>
      </w:r>
      <w:r w:rsidR="007272E1" w:rsidRPr="007272E1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="007272E1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 w:rsidR="007272E1">
        <w:rPr>
          <w:szCs w:val="28"/>
          <w:shd w:val="clear" w:color="auto" w:fill="FFFFFF"/>
          <w:lang w:val="ru-RU"/>
        </w:rPr>
        <w:t>позволяющая добавлять, удалят</w:t>
      </w:r>
      <w:r w:rsidR="009A4405">
        <w:rPr>
          <w:szCs w:val="28"/>
          <w:shd w:val="clear" w:color="auto" w:fill="FFFFFF"/>
          <w:lang w:val="ru-RU"/>
        </w:rPr>
        <w:t xml:space="preserve">ь слова, изменять их ориентацию, а также </w:t>
      </w:r>
      <w:r w:rsidR="009A4405" w:rsidRPr="009A4405">
        <w:rPr>
          <w:i/>
          <w:szCs w:val="28"/>
          <w:shd w:val="clear" w:color="auto" w:fill="FFFFFF"/>
          <w:lang w:val="ru-RU"/>
        </w:rPr>
        <w:t>подсистема работы со словарем</w:t>
      </w:r>
      <w:r w:rsidR="009A4405">
        <w:rPr>
          <w:i/>
          <w:szCs w:val="28"/>
          <w:shd w:val="clear" w:color="auto" w:fill="FFFFFF"/>
          <w:lang w:val="ru-RU"/>
        </w:rPr>
        <w:t xml:space="preserve">, </w:t>
      </w:r>
      <w:r w:rsidR="009A4405" w:rsidRPr="009A4405">
        <w:rPr>
          <w:szCs w:val="28"/>
          <w:shd w:val="clear" w:color="auto" w:fill="FFFFFF"/>
          <w:lang w:val="ru-RU"/>
        </w:rPr>
        <w:t>которая позволяет</w:t>
      </w:r>
      <w:r w:rsidR="009A4405">
        <w:rPr>
          <w:szCs w:val="28"/>
          <w:shd w:val="clear" w:color="auto" w:fill="FFFFFF"/>
          <w:lang w:val="ru-RU"/>
        </w:rPr>
        <w:t xml:space="preserve"> добавлять, удалять, изменять слова из словаря понятий</w:t>
      </w:r>
      <w:r w:rsidR="00514271" w:rsidRPr="00514271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514271">
        <w:rPr>
          <w:szCs w:val="28"/>
          <w:shd w:val="clear" w:color="auto" w:fill="FFFFFF"/>
          <w:lang w:val="ru-RU"/>
        </w:rPr>
        <w:t>гадать кроссворд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Pr="00293F05" w:rsidRDefault="00BA4C79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293F05">
        <w:t>[15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9F7A23" w:rsidRPr="007A547E" w:rsidTr="00131FE2"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131FE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131FE2" w:rsidRPr="007A547E" w:rsidTr="00131FE2">
        <w:trPr>
          <w:trHeight w:val="426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rPr>
          <w:trHeight w:val="42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131FE2">
        <w:trPr>
          <w:trHeight w:val="46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131FE2" w:rsidRPr="00131FE2" w:rsidTr="00131FE2">
        <w:trPr>
          <w:trHeight w:val="371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000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128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E57B07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E57B07"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6D637D" w:rsidRPr="007A547E" w:rsidTr="00E57B07"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6D637D" w:rsidRPr="006D637D" w:rsidTr="00E57B07"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2368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368F">
              <w:rPr>
                <w:sz w:val="28"/>
                <w:szCs w:val="28"/>
              </w:rPr>
              <w:t>Генерирования</w:t>
            </w:r>
            <w:r>
              <w:rPr>
                <w:sz w:val="28"/>
                <w:szCs w:val="28"/>
              </w:rPr>
              <w:t xml:space="preserve">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Сгенерировать кроссворд по заданным параметрам</w:t>
            </w:r>
            <w:r w:rsidR="009F7A23"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  <w:p w:rsidR="006D637D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6D637D" w:rsidRPr="007A547E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целое, 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 w:val="restart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оздать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DB0E6F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DB0E6F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понятий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вид сортировки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перечислимый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Работы со словарем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 w:rsidR="00965922">
              <w:rPr>
                <w:sz w:val="28"/>
                <w:szCs w:val="28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>новое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6B3D57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  <w:r w:rsidR="006B3D57">
              <w:rPr>
                <w:sz w:val="28"/>
                <w:szCs w:val="28"/>
                <w:lang w:val="en-US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 xml:space="preserve">строка </w:t>
            </w:r>
            <w:r w:rsidR="006B3D57">
              <w:rPr>
                <w:sz w:val="28"/>
                <w:szCs w:val="28"/>
                <w:lang w:val="en-US"/>
              </w:rPr>
              <w:t>[</w:t>
            </w:r>
            <w:r w:rsidR="006B3D57">
              <w:rPr>
                <w:sz w:val="28"/>
                <w:szCs w:val="28"/>
              </w:rPr>
              <w:t>3..20</w:t>
            </w:r>
            <w:r w:rsidR="006B3D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6B3D57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Измененный </w:t>
            </w:r>
            <w:r w:rsidR="001140A8">
              <w:rPr>
                <w:sz w:val="28"/>
                <w:szCs w:val="28"/>
              </w:rPr>
              <w:t xml:space="preserve">список понятий и </w:t>
            </w:r>
            <w:r w:rsidR="001140A8">
              <w:rPr>
                <w:sz w:val="28"/>
                <w:szCs w:val="28"/>
              </w:rPr>
              <w:lastRenderedPageBreak/>
              <w:t>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</w:p>
        </w:tc>
      </w:tr>
    </w:tbl>
    <w:p w:rsidR="006B3D57" w:rsidRPr="007A547E" w:rsidRDefault="006B3D57" w:rsidP="006B3D57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6B3D57" w:rsidRPr="007A547E" w:rsidTr="00EA5896">
        <w:tc>
          <w:tcPr>
            <w:tcW w:w="2093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7B07" w:rsidRPr="006B3D57" w:rsidTr="00EA5896">
        <w:tc>
          <w:tcPr>
            <w:tcW w:w="2093" w:type="dxa"/>
            <w:vMerge w:val="restart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  <w:r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понятие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Признак языка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Перечислимый</w:t>
            </w:r>
          </w:p>
        </w:tc>
      </w:tr>
      <w:tr w:rsidR="00E57B07" w:rsidRPr="00DB0E6F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 критерию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</w:rPr>
              <w:t>перечислимое</w:t>
            </w:r>
            <w:proofErr w:type="gramEnd"/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965922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маска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</w:tbl>
    <w:p w:rsidR="00EA5896" w:rsidRPr="007A547E" w:rsidRDefault="00EA5896" w:rsidP="00EA5896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20E81" w:rsidRPr="007A547E" w:rsidTr="0090272D">
        <w:tc>
          <w:tcPr>
            <w:tcW w:w="708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896" w:rsidRPr="006B3D5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словарь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5.9 </w:t>
            </w:r>
            <w:r>
              <w:rPr>
                <w:sz w:val="28"/>
                <w:szCs w:val="28"/>
              </w:rPr>
              <w:t>Сохранить словарь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строка</w:t>
            </w:r>
            <w:r w:rsidRPr="00EA5896">
              <w:rPr>
                <w:sz w:val="28"/>
                <w:szCs w:val="28"/>
              </w:rPr>
              <w:t>, 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5.10 </w:t>
            </w:r>
            <w:r>
              <w:rPr>
                <w:sz w:val="28"/>
                <w:szCs w:val="28"/>
              </w:rPr>
              <w:t>Создать новый словарь понятий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массив,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</w:t>
            </w:r>
            <w:r w:rsidR="00E57B07">
              <w:rPr>
                <w:sz w:val="28"/>
                <w:szCs w:val="28"/>
              </w:rPr>
              <w:t>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520E81" w:rsidRPr="005338B8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Файловая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охранить кроссворд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Default="00520E81" w:rsidP="00E57B0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«Кроссворд»,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файла определяется в ходе проектирования</w:t>
            </w:r>
          </w:p>
        </w:tc>
      </w:tr>
      <w:tr w:rsidR="00520E81" w:rsidRPr="00DB0E6F" w:rsidTr="0090272D">
        <w:tc>
          <w:tcPr>
            <w:tcW w:w="708" w:type="pct"/>
            <w:vMerge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кроссворд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Pr="00E57B07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0272D" w:rsidRPr="00965922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Визуализации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сетку кроссворда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DB0E6F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272D" w:rsidRPr="00965922" w:rsidTr="0090272D">
        <w:tc>
          <w:tcPr>
            <w:tcW w:w="708" w:type="pct"/>
            <w:vMerge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задания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5338B8" w:rsidRDefault="005338B8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  <w:bookmarkStart w:id="16" w:name="_GoBack"/>
            <w:bookmarkEnd w:id="16"/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заданий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A5896" w:rsidRDefault="00EA5896" w:rsidP="00EA5896">
      <w:pPr>
        <w:pStyle w:val="a9"/>
        <w:ind w:firstLine="0"/>
      </w:pPr>
    </w:p>
    <w:p w:rsidR="0090272D" w:rsidRPr="007A547E" w:rsidRDefault="0090272D" w:rsidP="0090272D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90272D" w:rsidRPr="007A547E" w:rsidTr="00B47A6C">
        <w:tc>
          <w:tcPr>
            <w:tcW w:w="655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8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272D" w:rsidRPr="006B3D57" w:rsidTr="00B47A6C">
        <w:tc>
          <w:tcPr>
            <w:tcW w:w="655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количество подсказок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EA5896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Целое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количества подсказок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0F55" w:rsidRPr="006D637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Разгадывания кроссворда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0272D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ыбрать слово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Pr="007A547E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A5896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0272D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букву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зять подсказку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подсказок, выбранное слово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строк, строка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Подсказка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0272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Авторизации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логин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9E0F55">
              <w:rPr>
                <w:sz w:val="28"/>
                <w:szCs w:val="28"/>
              </w:rPr>
              <w:t xml:space="preserve"> 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DB0E6F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пароль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57B07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 + цифры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65922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учетную запись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Логин, пароль, список учетных записей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DB0E6F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сущность БД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пользователя, код ошибки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Перечислимое, целое</w:t>
            </w:r>
          </w:p>
        </w:tc>
      </w:tr>
    </w:tbl>
    <w:p w:rsidR="0090272D" w:rsidRPr="00EA5896" w:rsidRDefault="0090272D" w:rsidP="00EA5896">
      <w:pPr>
        <w:pStyle w:val="a9"/>
        <w:ind w:firstLine="0"/>
        <w:sectPr w:rsidR="0090272D" w:rsidRPr="00EA5896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5338B8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5338B8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5338B8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D38" w:rsidRDefault="00307D38" w:rsidP="009F7A23">
      <w:pPr>
        <w:spacing w:line="240" w:lineRule="auto"/>
      </w:pPr>
      <w:r>
        <w:separator/>
      </w:r>
    </w:p>
  </w:endnote>
  <w:endnote w:type="continuationSeparator" w:id="0">
    <w:p w:rsidR="00307D38" w:rsidRDefault="00307D38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31FE2" w:rsidRDefault="00131F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8B8" w:rsidRPr="005338B8">
          <w:rPr>
            <w:noProof/>
            <w:lang w:val="ru-RU"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D38" w:rsidRDefault="00307D38" w:rsidP="009F7A23">
      <w:pPr>
        <w:spacing w:line="240" w:lineRule="auto"/>
      </w:pPr>
      <w:r>
        <w:separator/>
      </w:r>
    </w:p>
  </w:footnote>
  <w:footnote w:type="continuationSeparator" w:id="0">
    <w:p w:rsidR="00307D38" w:rsidRDefault="00307D38" w:rsidP="009F7A23">
      <w:pPr>
        <w:spacing w:line="240" w:lineRule="auto"/>
      </w:pPr>
      <w:r>
        <w:continuationSeparator/>
      </w:r>
    </w:p>
  </w:footnote>
  <w:footnote w:id="1">
    <w:p w:rsidR="00131FE2" w:rsidRDefault="00131FE2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31FE2" w:rsidRPr="006B6D1F" w:rsidRDefault="00131FE2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31FE2" w:rsidRPr="00950494" w:rsidRDefault="00131FE2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31FE2" w:rsidRPr="00AC66E0" w:rsidRDefault="00131FE2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EEC240E"/>
    <w:multiLevelType w:val="hybridMultilevel"/>
    <w:tmpl w:val="AC4AFDC4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F22D0"/>
    <w:multiLevelType w:val="hybridMultilevel"/>
    <w:tmpl w:val="64184AD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B48A2"/>
    <w:multiLevelType w:val="hybridMultilevel"/>
    <w:tmpl w:val="5DD2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9B31842"/>
    <w:multiLevelType w:val="hybridMultilevel"/>
    <w:tmpl w:val="C0AE4AF4"/>
    <w:lvl w:ilvl="0" w:tplc="11B0FD76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2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5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"/>
  </w:num>
  <w:num w:numId="5">
    <w:abstractNumId w:val="25"/>
  </w:num>
  <w:num w:numId="6">
    <w:abstractNumId w:val="34"/>
  </w:num>
  <w:num w:numId="7">
    <w:abstractNumId w:val="21"/>
  </w:num>
  <w:num w:numId="8">
    <w:abstractNumId w:val="32"/>
  </w:num>
  <w:num w:numId="9">
    <w:abstractNumId w:val="38"/>
  </w:num>
  <w:num w:numId="10">
    <w:abstractNumId w:val="17"/>
  </w:num>
  <w:num w:numId="11">
    <w:abstractNumId w:val="22"/>
  </w:num>
  <w:num w:numId="12">
    <w:abstractNumId w:val="5"/>
  </w:num>
  <w:num w:numId="13">
    <w:abstractNumId w:val="16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5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31"/>
  </w:num>
  <w:num w:numId="21">
    <w:abstractNumId w:val="14"/>
  </w:num>
  <w:num w:numId="22">
    <w:abstractNumId w:val="28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9"/>
  </w:num>
  <w:num w:numId="29">
    <w:abstractNumId w:val="39"/>
  </w:num>
  <w:num w:numId="30">
    <w:abstractNumId w:val="0"/>
  </w:num>
  <w:num w:numId="31">
    <w:abstractNumId w:val="4"/>
  </w:num>
  <w:num w:numId="32">
    <w:abstractNumId w:val="18"/>
  </w:num>
  <w:num w:numId="33">
    <w:abstractNumId w:val="36"/>
  </w:num>
  <w:num w:numId="34">
    <w:abstractNumId w:val="6"/>
  </w:num>
  <w:num w:numId="35">
    <w:abstractNumId w:val="37"/>
  </w:num>
  <w:num w:numId="36">
    <w:abstractNumId w:val="30"/>
  </w:num>
  <w:num w:numId="37">
    <w:abstractNumId w:val="3"/>
  </w:num>
  <w:num w:numId="38">
    <w:abstractNumId w:val="40"/>
  </w:num>
  <w:num w:numId="39">
    <w:abstractNumId w:val="15"/>
  </w:num>
  <w:num w:numId="40">
    <w:abstractNumId w:val="12"/>
  </w:num>
  <w:num w:numId="41">
    <w:abstractNumId w:val="9"/>
  </w:num>
  <w:num w:numId="42">
    <w:abstractNumId w:val="2"/>
  </w:num>
  <w:num w:numId="43">
    <w:abstractNumId w:val="20"/>
  </w:num>
  <w:num w:numId="44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E6EA2"/>
    <w:rsid w:val="000F7BC3"/>
    <w:rsid w:val="001140A8"/>
    <w:rsid w:val="001161B2"/>
    <w:rsid w:val="0012368F"/>
    <w:rsid w:val="001241EF"/>
    <w:rsid w:val="00131FE2"/>
    <w:rsid w:val="001362FE"/>
    <w:rsid w:val="00140050"/>
    <w:rsid w:val="0015286F"/>
    <w:rsid w:val="001533B4"/>
    <w:rsid w:val="001D36E3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07D38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14271"/>
    <w:rsid w:val="00520E81"/>
    <w:rsid w:val="005338B8"/>
    <w:rsid w:val="005C4E6F"/>
    <w:rsid w:val="00633840"/>
    <w:rsid w:val="0067478A"/>
    <w:rsid w:val="006818E6"/>
    <w:rsid w:val="0069191A"/>
    <w:rsid w:val="006B3D57"/>
    <w:rsid w:val="006D0301"/>
    <w:rsid w:val="006D58D4"/>
    <w:rsid w:val="006D637D"/>
    <w:rsid w:val="006F12C9"/>
    <w:rsid w:val="007272E1"/>
    <w:rsid w:val="00734221"/>
    <w:rsid w:val="00735EA7"/>
    <w:rsid w:val="00743107"/>
    <w:rsid w:val="00751EA8"/>
    <w:rsid w:val="007A31EE"/>
    <w:rsid w:val="007A547E"/>
    <w:rsid w:val="007B1E42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1086"/>
    <w:rsid w:val="0090272D"/>
    <w:rsid w:val="009039D0"/>
    <w:rsid w:val="00965922"/>
    <w:rsid w:val="00970805"/>
    <w:rsid w:val="009A4405"/>
    <w:rsid w:val="009E0F55"/>
    <w:rsid w:val="009F7A23"/>
    <w:rsid w:val="00A0522D"/>
    <w:rsid w:val="00A05F67"/>
    <w:rsid w:val="00A63011"/>
    <w:rsid w:val="00AA6A93"/>
    <w:rsid w:val="00AE5F31"/>
    <w:rsid w:val="00AF46E5"/>
    <w:rsid w:val="00AF6EBC"/>
    <w:rsid w:val="00B01016"/>
    <w:rsid w:val="00B11B88"/>
    <w:rsid w:val="00B42B15"/>
    <w:rsid w:val="00B55EF3"/>
    <w:rsid w:val="00B64AEB"/>
    <w:rsid w:val="00B76E41"/>
    <w:rsid w:val="00BA4C79"/>
    <w:rsid w:val="00BB48F7"/>
    <w:rsid w:val="00BC56C3"/>
    <w:rsid w:val="00C479F3"/>
    <w:rsid w:val="00C50CFC"/>
    <w:rsid w:val="00C73BA0"/>
    <w:rsid w:val="00C75F38"/>
    <w:rsid w:val="00C76654"/>
    <w:rsid w:val="00D050F0"/>
    <w:rsid w:val="00D24B2D"/>
    <w:rsid w:val="00D808A4"/>
    <w:rsid w:val="00DB0E6F"/>
    <w:rsid w:val="00DB6A50"/>
    <w:rsid w:val="00DC35D0"/>
    <w:rsid w:val="00E1775B"/>
    <w:rsid w:val="00E25BAC"/>
    <w:rsid w:val="00E26547"/>
    <w:rsid w:val="00E57B07"/>
    <w:rsid w:val="00E84BB5"/>
    <w:rsid w:val="00EA5896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12DB0-1A56-470B-8030-917171B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47</Pages>
  <Words>7485</Words>
  <Characters>42668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13</cp:revision>
  <dcterms:created xsi:type="dcterms:W3CDTF">2018-10-09T09:22:00Z</dcterms:created>
  <dcterms:modified xsi:type="dcterms:W3CDTF">2018-10-22T19:41:00Z</dcterms:modified>
</cp:coreProperties>
</file>