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Data Details – Training / Validation / Test Datasets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Purpose &amp; Scope</w:t>
      </w:r>
    </w:p>
    <w:p>
      <w:r>
        <w:t>This document describes datasets used to develop, validate, and evaluate the Medical Reports Analysis System. The system ingests de-identified patient medical reports and extracts structured fields for downstream analytics and Excel export.</w:t>
      </w:r>
    </w:p>
    <w:p>
      <w:r>
        <w:rPr>
          <w:b/>
          <w:sz w:val="28"/>
        </w:rPr>
        <w:t>2. Dataset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Source/Owner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Content/Modality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Volume (docs)</w:t>
            </w:r>
          </w:p>
        </w:tc>
        <w:tc>
          <w:tcPr>
            <w:tcW w:type="dxa" w:w="2304"/>
          </w:tcPr>
          <w:p>
            <w:r>
              <w:rPr>
                <w:b/>
              </w:rPr>
              <w:t>Label Schema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Collection Period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872"/>
          </w:tcPr>
          <w:p/>
        </w:tc>
        <w:tc>
          <w:tcPr>
            <w:tcW w:type="dxa" w:w="2016"/>
          </w:tcPr>
          <w:p/>
        </w:tc>
        <w:tc>
          <w:tcPr>
            <w:tcW w:type="dxa" w:w="1440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872"/>
          </w:tcPr>
          <w:p/>
        </w:tc>
        <w:tc>
          <w:tcPr>
            <w:tcW w:type="dxa" w:w="2016"/>
          </w:tcPr>
          <w:p/>
        </w:tc>
        <w:tc>
          <w:tcPr>
            <w:tcW w:type="dxa" w:w="1440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872"/>
          </w:tcPr>
          <w:p/>
        </w:tc>
        <w:tc>
          <w:tcPr>
            <w:tcW w:type="dxa" w:w="2016"/>
          </w:tcPr>
          <w:p/>
        </w:tc>
        <w:tc>
          <w:tcPr>
            <w:tcW w:type="dxa" w:w="1440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872"/>
          </w:tcPr>
          <w:p/>
        </w:tc>
        <w:tc>
          <w:tcPr>
            <w:tcW w:type="dxa" w:w="2016"/>
          </w:tcPr>
          <w:p/>
        </w:tc>
        <w:tc>
          <w:tcPr>
            <w:tcW w:type="dxa" w:w="1440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</w:tr>
    </w:tbl>
    <w:p>
      <w:r>
        <w:rPr>
          <w:b/>
          <w:sz w:val="28"/>
        </w:rPr>
        <w:t>3. Data Provenance &amp; Governance</w:t>
      </w:r>
    </w:p>
    <w:p>
      <w:r>
        <w:t>• All datasets are provided as de-identified data. No PHI/PII is processed.</w:t>
        <w:br/>
        <w:t>• De-identification uses Safe Harbor or Expert Determination consistent with HIPAA.</w:t>
        <w:br/>
        <w:t>• Access controls are enforced at storage and pipeline levels; all transfers are encrypted in transit and at rest.</w:t>
        <w:br/>
        <w:t>• Dataset lineage is tracked in the data registry with unique dataset IDs and immutable hashes for snapshots.</w:t>
      </w:r>
    </w:p>
    <w:p>
      <w:r>
        <w:rPr>
          <w:b/>
          <w:sz w:val="28"/>
        </w:rPr>
        <w:t>4. Sampling &amp; Splitting Strategy</w:t>
      </w:r>
    </w:p>
    <w:p>
      <w:r>
        <w:t>• Stratified split by cancer subtype, report template, and document modality to avoid leakage.</w:t>
        <w:br/>
        <w:t>• Patient-level grouping ensures all reports from a patient occur in a single split.</w:t>
        <w:br/>
        <w:t>• Versioned split manifests stored in repository (e.g., data/splits/vX.Y).</w:t>
      </w:r>
    </w:p>
    <w:p>
      <w:r>
        <w:rPr>
          <w:b/>
          <w:sz w:val="28"/>
        </w:rPr>
        <w:t>5. Labeling &amp; QA</w:t>
      </w:r>
    </w:p>
    <w:p>
      <w:r>
        <w:t>• Label schema follows OMI’s predefined specifications (e.g., T, N, M, Grade, biomarkers).</w:t>
        <w:br/>
        <w:t>• Dual-review labeling on ambiguous fields; adjudication protocol for conflicts.</w:t>
        <w:br/>
        <w:t>• Periodic label drift audits; inter-annotator agreement reported (κ).</w:t>
      </w:r>
    </w:p>
    <w:p>
      <w:r>
        <w:rPr>
          <w:b/>
          <w:sz w:val="28"/>
        </w:rPr>
        <w:t>6. Preprocessing &amp; Augmentations</w:t>
      </w:r>
    </w:p>
    <w:p>
      <w:r>
        <w:t>• OCR normalization (fonts, skew, noise), clinical lexicon normalization, templated phrase handling.</w:t>
        <w:br/>
        <w:t>• Augmentations for robustness (OCR noise, low DPI, watermarks) applied only to training.</w:t>
        <w:br/>
        <w:t>• All transforms are deterministic and logged with seeds and versions.</w:t>
      </w:r>
    </w:p>
    <w:p>
      <w:r>
        <w:rPr>
          <w:b/>
          <w:sz w:val="28"/>
        </w:rPr>
        <w:t>7. Data Minimization &amp; Retention</w:t>
      </w:r>
    </w:p>
    <w:p>
      <w:r>
        <w:t>• Only fields required for extraction are retained and logged.</w:t>
        <w:br/>
        <w:t>• Retention schedules align with contractual commitments; secure deletion on termination.</w:t>
        <w:br/>
        <w:t>• Periodic reviews ensure adherence to minimization.</w:t>
      </w:r>
    </w:p>
    <w:p>
      <w:r>
        <w:rPr>
          <w:b/>
          <w:sz w:val="28"/>
        </w:rPr>
        <w:t>8. Risks &amp; Mitigations</w:t>
      </w:r>
    </w:p>
    <w:p>
      <w:r>
        <w:t>• Residual re-identification risk: mitigated via strict de-identification and access controls.</w:t>
        <w:br/>
        <w:t>• Bias in report templates: mitigated via stratified sampling and targeted data collection.</w:t>
        <w:br/>
        <w:t>• Domain drift: monitored via post-market telemetry and dataset refresh triggers.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