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Transparency Information – User-Facing Disclosures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2025-11-10</w:t>
      </w:r>
    </w:p>
    <w:p/>
    <w:p>
      <w:r>
        <w:rPr>
          <w:b/>
          <w:sz w:val="28"/>
        </w:rPr>
        <w:t>1. Purpose &amp; Capabilities (User Notice)</w:t>
      </w:r>
    </w:p>
    <w:p>
      <w:r>
        <w:t>This system aids in extracting structured data from de-identified medical reports to produce Excel files. It does not make clinical decisions and should not be used as a substitute for professional judgment.</w:t>
      </w:r>
    </w:p>
    <w:p>
      <w:r>
        <w:rPr>
          <w:b/>
          <w:sz w:val="28"/>
        </w:rPr>
        <w:t>2. Data Use &amp; Privacy</w:t>
      </w:r>
    </w:p>
    <w:p>
      <w:r>
        <w:t>• Input data must be de-identified; do not upload PHI/PII.</w:t>
        <w:br/>
        <w:t>• Data are encrypted at rest and in transit; access is role-based.</w:t>
        <w:br/>
        <w:t>• Retention and deletion follow contractual schedules.</w:t>
      </w:r>
    </w:p>
    <w:p>
      <w:r>
        <w:rPr>
          <w:b/>
          <w:sz w:val="28"/>
        </w:rPr>
        <w:t>3. Human Oversight &amp; Limitations</w:t>
      </w:r>
    </w:p>
    <w:p>
      <w:r>
        <w:t>• Low-confidence results and exceptions receive human review before use.</w:t>
        <w:br/>
        <w:t>• Extraction quality can be affected by scan quality, templates, and OCR errors.</w:t>
        <w:br/>
        <w:t>• Users should verify outputs prior to downstream use.</w:t>
      </w:r>
    </w:p>
    <w:p>
      <w:r>
        <w:rPr>
          <w:b/>
          <w:sz w:val="28"/>
        </w:rPr>
        <w:t>4. Contact &amp; Incident Reporting</w:t>
      </w:r>
    </w:p>
    <w:p>
      <w:r>
        <w:t>• For issues, contact the support channel.</w:t>
        <w:br/>
        <w:t>• Security incidents are reported within 24 hours per agreement.</w:t>
        <w:br/>
        <w:t>• Feedback is logged and used for continuous improvement.</w:t>
      </w:r>
    </w:p>
    <w:p>
      <w:r>
        <w:rPr>
          <w:b/>
          <w:sz w:val="28"/>
        </w:rPr>
        <w:t>5. Version &amp; Changes</w:t>
      </w:r>
    </w:p>
    <w:p>
      <w:r>
        <w:t>• This transparency notice is versioned; material changes are communicated to users in release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