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Transparency Information – User-Facing Disclosures</w:t>
      </w:r>
    </w:p>
    <w:p>
      <w:r>
        <w:t>System: Medical Reports Analysis System (OMI)</w:t>
      </w:r>
    </w:p>
    <w:p>
      <w:r>
        <w:t>Provider: SkyHighGrowth Inc. (SHG)</w:t>
      </w:r>
    </w:p>
    <w:p>
      <w:r>
        <w:t>AI Component: SHG Proprietary AI Model</w:t>
      </w:r>
    </w:p>
    <w:p>
      <w:r>
        <w:t>Document date: 2026-01-24</w:t>
      </w:r>
    </w:p>
    <w:p/>
    <w:p>
      <w:r>
        <w:rPr>
          <w:b/>
          <w:sz w:val="28"/>
        </w:rPr>
        <w:t>Purpose &amp; Capabilities</w:t>
      </w:r>
    </w:p>
    <w:p>
      <w:r>
        <w:t>The system extracts structured data from de-identified medical reports and produces Excel outputs for downstream analytics. It does not make clinical decisions or provide medical advice.</w:t>
      </w:r>
    </w:p>
    <w:p>
      <w:r>
        <w:rPr>
          <w:b/>
          <w:sz w:val="28"/>
        </w:rPr>
        <w:t>Data Use &amp; Privacy</w:t>
      </w:r>
    </w:p>
    <w:p>
      <w:r>
        <w:t>Input must be de-identified; data are encrypted in transit and at rest; access is role-based. Retention and deletion follow contract and policy. Users should verify outputs before use.</w:t>
      </w:r>
    </w:p>
    <w:p>
      <w:r>
        <w:rPr>
          <w:b/>
          <w:sz w:val="28"/>
        </w:rPr>
        <w:t>Human Oversight &amp; Limitations</w:t>
      </w:r>
    </w:p>
    <w:p>
      <w:r>
        <w:t>Low-confidence or exceptional cases are routed to human review. Quality may be affected by scan quality, document templates, and OCR errors.</w:t>
      </w:r>
    </w:p>
    <w:p>
      <w:r>
        <w:rPr>
          <w:b/>
          <w:sz w:val="28"/>
        </w:rPr>
        <w:t>Contact &amp; Changes</w:t>
      </w:r>
    </w:p>
    <w:p>
      <w:r>
        <w:t>Report issues via support. Security incidents are reported within contractual SLAs. This notice is versioned; material changes are communicated in release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