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6"/>
        </w:rPr>
        <w:t>Oversight Procedures – Intended Purpose, Roles, and Controls</w:t>
      </w:r>
    </w:p>
    <w:p>
      <w:r>
        <w:t>System: Medical Reports Analysis System (OMI)</w:t>
      </w:r>
    </w:p>
    <w:p>
      <w:r>
        <w:t>Provider: SkyHighGrowth Inc. (SHG)</w:t>
      </w:r>
    </w:p>
    <w:p>
      <w:r>
        <w:t>AI Component: SHG Proprietary AI Model</w:t>
      </w:r>
    </w:p>
    <w:p>
      <w:r>
        <w:t>Document date: 2026-01-24</w:t>
      </w:r>
    </w:p>
    <w:p/>
    <w:p>
      <w:r>
        <w:rPr>
          <w:b/>
          <w:sz w:val="28"/>
        </w:rPr>
        <w:t>Intended Purpose</w:t>
      </w:r>
    </w:p>
    <w:p>
      <w:r>
        <w:t>Assist users by extracting clinical fields from de-identified reports into a consistent tabular format for analytics and review. Not a diagnostic tool.</w:t>
      </w:r>
    </w:p>
    <w:p>
      <w:r>
        <w:rPr>
          <w:b/>
          <w:sz w:val="28"/>
        </w:rPr>
        <w:t>Oversight Model</w:t>
      </w:r>
    </w:p>
    <w:p>
      <w:r>
        <w:t>Human-in-the-loop (HITL) verification is applied to low-confidence extractions and exceptions. Reviewers validate outputs, correct errors, and provide feedback loops to improve the system.</w:t>
      </w:r>
    </w:p>
    <w:p>
      <w:r>
        <w:rPr>
          <w:b/>
          <w:sz w:val="28"/>
        </w:rPr>
        <w:t>Roles &amp;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Responsibility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Key Actions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Tools</w:t>
            </w:r>
          </w:p>
        </w:tc>
      </w:tr>
      <w:tr>
        <w:tc>
          <w:tcPr>
            <w:tcW w:type="dxa" w:w="2160"/>
          </w:tcPr>
          <w:p>
            <w:r>
              <w:t>Reviewer</w:t>
            </w:r>
          </w:p>
        </w:tc>
        <w:tc>
          <w:tcPr>
            <w:tcW w:type="dxa" w:w="2160"/>
          </w:tcPr>
          <w:p>
            <w:r>
              <w:t>Validate extracted fields</w:t>
            </w:r>
          </w:p>
        </w:tc>
        <w:tc>
          <w:tcPr>
            <w:tcW w:type="dxa" w:w="2160"/>
          </w:tcPr>
          <w:p>
            <w:r>
              <w:t>Approve/Correct/Reject</w:t>
            </w:r>
          </w:p>
        </w:tc>
        <w:tc>
          <w:tcPr>
            <w:tcW w:type="dxa" w:w="2160"/>
          </w:tcPr>
          <w:p>
            <w:r>
              <w:t>Review UI; audit log</w:t>
            </w:r>
          </w:p>
        </w:tc>
      </w:tr>
      <w:tr>
        <w:tc>
          <w:tcPr>
            <w:tcW w:type="dxa" w:w="2160"/>
          </w:tcPr>
          <w:p>
            <w:r>
              <w:t>Supervisor</w:t>
            </w:r>
          </w:p>
        </w:tc>
        <w:tc>
          <w:tcPr>
            <w:tcW w:type="dxa" w:w="2160"/>
          </w:tcPr>
          <w:p>
            <w:r>
              <w:t>Quality oversight</w:t>
            </w:r>
          </w:p>
        </w:tc>
        <w:tc>
          <w:tcPr>
            <w:tcW w:type="dxa" w:w="2160"/>
          </w:tcPr>
          <w:p>
            <w:r>
              <w:t>Sample audits; reviewer training</w:t>
            </w:r>
          </w:p>
        </w:tc>
        <w:tc>
          <w:tcPr>
            <w:tcW w:type="dxa" w:w="2160"/>
          </w:tcPr>
          <w:p>
            <w:r>
              <w:t>Analytics dashboards</w:t>
            </w:r>
          </w:p>
        </w:tc>
      </w:tr>
      <w:tr>
        <w:tc>
          <w:tcPr>
            <w:tcW w:type="dxa" w:w="2160"/>
          </w:tcPr>
          <w:p>
            <w:r>
              <w:t>PM/PO</w:t>
            </w:r>
          </w:p>
        </w:tc>
        <w:tc>
          <w:tcPr>
            <w:tcW w:type="dxa" w:w="2160"/>
          </w:tcPr>
          <w:p>
            <w:r>
              <w:t>Governance &amp; release</w:t>
            </w:r>
          </w:p>
        </w:tc>
        <w:tc>
          <w:tcPr>
            <w:tcW w:type="dxa" w:w="2160"/>
          </w:tcPr>
          <w:p>
            <w:r>
              <w:t>Risk acceptance; prioritization</w:t>
            </w:r>
          </w:p>
        </w:tc>
        <w:tc>
          <w:tcPr>
            <w:tcW w:type="dxa" w:w="2160"/>
          </w:tcPr>
          <w:p>
            <w:r>
              <w:t>Jira; change board</w:t>
            </w:r>
          </w:p>
        </w:tc>
      </w:tr>
      <w:tr>
        <w:tc>
          <w:tcPr>
            <w:tcW w:type="dxa" w:w="2160"/>
          </w:tcPr>
          <w:p>
            <w:r>
              <w:t>Security/Compliance</w:t>
            </w:r>
          </w:p>
        </w:tc>
        <w:tc>
          <w:tcPr>
            <w:tcW w:type="dxa" w:w="2160"/>
          </w:tcPr>
          <w:p>
            <w:r>
              <w:t>Privacy &amp; HIPAA</w:t>
            </w:r>
          </w:p>
        </w:tc>
        <w:tc>
          <w:tcPr>
            <w:tcW w:type="dxa" w:w="2160"/>
          </w:tcPr>
          <w:p>
            <w:r>
              <w:t>Access audits; incident review</w:t>
            </w:r>
          </w:p>
        </w:tc>
        <w:tc>
          <w:tcPr>
            <w:tcW w:type="dxa" w:w="2160"/>
          </w:tcPr>
          <w:p>
            <w:r>
              <w:t>IAM; SIEM</w:t>
            </w:r>
          </w:p>
        </w:tc>
      </w:tr>
    </w:tbl>
    <w:p>
      <w:r>
        <w:rPr>
          <w:b/>
          <w:sz w:val="28"/>
        </w:rPr>
        <w:t>Operational Controls &amp; Fail-safes</w:t>
      </w:r>
    </w:p>
    <w:p>
      <w:r>
        <w:t>Confidence thresholds route items to review; dual-control for critical fields; clear UI shows source snippets and justifications. Emergency stop disables model route and falls back to manual processing.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