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Input Data – Sources, Governance, and Preparation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Data Sources &amp; Splits</w:t>
      </w:r>
    </w:p>
    <w:p>
      <w:r>
        <w:t>De-identified medical reports (PDF/DOCX/Images OCR). Stratified sampling by cancer subtype, template, and modality; patient-level grouping to avoid leakage; versioned split manifests.</w:t>
      </w:r>
    </w:p>
    <w:p>
      <w:r>
        <w:rPr>
          <w:b/>
          <w:sz w:val="28"/>
        </w:rPr>
        <w:t>Labeling &amp; QA</w:t>
      </w:r>
    </w:p>
    <w:p>
      <w:r>
        <w:t>Labels follow OMI specifications (e.g., T, N, M, Grade, biomarkers). Dual-review labeling for ambiguous fields; adjudication for conflicts; inter-annotator agreement tracked.</w:t>
      </w:r>
    </w:p>
    <w:p>
      <w:r>
        <w:rPr>
          <w:b/>
          <w:sz w:val="28"/>
        </w:rPr>
        <w:t>Preprocessing &amp; Augmentations</w:t>
      </w:r>
    </w:p>
    <w:p>
      <w:r>
        <w:t>OCR normalization, clinical lexicon normalization, templated phrase handling; training-time augmentations for robustness (noise, low DPI, watermarks). Deterministic transforms with seeds.</w:t>
      </w:r>
    </w:p>
    <w:p>
      <w:r>
        <w:rPr>
          <w:b/>
          <w:sz w:val="28"/>
        </w:rPr>
        <w:t>Data Minimization &amp; Retention</w:t>
      </w:r>
    </w:p>
    <w:p>
      <w:r>
        <w:t>Only required fields retained; retention aligned to contract; secure deletion upon termination. Dataset lineage tracked with IDs and immutable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