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Governance Documentation – QMS, Risk, and Change Control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2026-01-24</w:t>
      </w:r>
    </w:p>
    <w:p/>
    <w:p>
      <w:r>
        <w:rPr>
          <w:b/>
          <w:sz w:val="28"/>
        </w:rPr>
        <w:t>QMS &amp; Document Control</w:t>
      </w:r>
    </w:p>
    <w:p>
      <w:r>
        <w:t>Versioned repositories with approval workflows; templates for requirements, design, test plans, release notes, and technical documentation.</w:t>
      </w:r>
    </w:p>
    <w:p>
      <w:r>
        <w:rPr>
          <w:b/>
          <w:sz w:val="28"/>
        </w:rPr>
        <w:t>Risk Management</w:t>
      </w:r>
    </w:p>
    <w:p>
      <w:r>
        <w:t>Register of hazards across data, model, system, human, and environment. Controls include preventive (access, encryption), detective (logging, SIEM), and corrective (reprocessing, escalation).</w:t>
      </w:r>
    </w:p>
    <w:p>
      <w:r>
        <w:rPr>
          <w:b/>
          <w:sz w:val="28"/>
        </w:rPr>
        <w:t>Change &amp; Release Management</w:t>
      </w:r>
    </w:p>
    <w:p>
      <w:r>
        <w:t>Change board evaluates risk; release gates tied to KPI thresholds and compliance checks; emergency hotfix path with post-mortem and CAPA.</w:t>
      </w:r>
    </w:p>
    <w:p>
      <w:r>
        <w:rPr>
          <w:b/>
          <w:sz w:val="28"/>
        </w:rPr>
        <w:t>Lifecycle Records</w:t>
      </w:r>
    </w:p>
    <w:p>
      <w:r>
        <w:t>Change logs, triggers for retraining/redeployment, traceability linking model versions to datasets, code commits, and environments; scheduled post-release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