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Provider Instructions – Safe Operation &amp; Responsibilities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2026-01-24</w:t>
      </w:r>
    </w:p>
    <w:p/>
    <w:p>
      <w:r>
        <w:rPr>
          <w:b/>
          <w:sz w:val="28"/>
        </w:rPr>
        <w:t>Before Use</w:t>
      </w:r>
    </w:p>
    <w:p>
      <w:r>
        <w:t>Ensure only de-identified inputs. Validate access control configurations, encryption at rest/in transit, and logging. Confirm reviewers are trained on UI and oversight procedures.</w:t>
      </w:r>
    </w:p>
    <w:p>
      <w:r>
        <w:rPr>
          <w:b/>
          <w:sz w:val="28"/>
        </w:rPr>
        <w:t>During Operation</w:t>
      </w:r>
    </w:p>
    <w:p>
      <w:r>
        <w:t>Monitor dashboards and alerts. Use reviewer workflows for low-confidence outputs. Keep audit trails and justifications for corrections and overrides.</w:t>
      </w:r>
    </w:p>
    <w:p>
      <w:r>
        <w:rPr>
          <w:b/>
          <w:sz w:val="28"/>
        </w:rPr>
        <w:t>After Updates</w:t>
      </w:r>
    </w:p>
    <w:p>
      <w:r>
        <w:t>Follow change board process. Validate KPIs and robustness before release. Update transparency notice and documentation; record lifecycle changes and evidence links.</w:t>
      </w:r>
    </w:p>
    <w:p>
      <w:r>
        <w:rPr>
          <w:b/>
          <w:sz w:val="28"/>
        </w:rPr>
        <w:t>Incident Response</w:t>
      </w:r>
    </w:p>
    <w:p>
      <w:r>
        <w:t>Report security incidents within SLA; perform RCA; implement CAPA and verify remediation. Communicate material issues to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