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5B9" w:rsidRDefault="00AA7993">
      <w:pPr>
        <w:jc w:val="righ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“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Modular robotic platform for </w:t>
      </w:r>
      <w:r>
        <w:rPr>
          <w:rFonts w:ascii="Arial" w:hAnsi="Arial"/>
          <w:color w:val="000000"/>
          <w:sz w:val="22"/>
          <w:szCs w:val="22"/>
        </w:rPr>
        <w:t>modern greenhouses</w:t>
      </w:r>
      <w:r>
        <w:rPr>
          <w:rFonts w:ascii="Arial" w:eastAsia="Arial" w:hAnsi="Arial" w:cs="Arial"/>
          <w:color w:val="000000"/>
          <w:sz w:val="22"/>
          <w:szCs w:val="22"/>
        </w:rPr>
        <w:t>”</w:t>
      </w:r>
    </w:p>
    <w:p w:rsidR="001665B9" w:rsidRDefault="001665B9">
      <w:pPr>
        <w:jc w:val="right"/>
        <w:rPr>
          <w:rFonts w:ascii="Arial" w:eastAsia="Arial" w:hAnsi="Arial" w:cs="Arial"/>
          <w:sz w:val="22"/>
          <w:szCs w:val="22"/>
        </w:rPr>
      </w:pPr>
    </w:p>
    <w:p w:rsidR="001665B9" w:rsidRDefault="001665B9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:rsidR="001665B9" w:rsidRDefault="00AA7993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MILESTONES AND SCOPE OF WORK</w:t>
      </w:r>
    </w:p>
    <w:p w:rsidR="001665B9" w:rsidRDefault="001665B9">
      <w:pPr>
        <w:ind w:left="142"/>
        <w:jc w:val="center"/>
        <w:rPr>
          <w:rFonts w:ascii="Arial" w:eastAsia="Arial" w:hAnsi="Arial" w:cs="Arial"/>
          <w:b/>
          <w:sz w:val="28"/>
          <w:szCs w:val="28"/>
        </w:rPr>
      </w:pPr>
    </w:p>
    <w:p w:rsidR="001665B9" w:rsidRDefault="00AA799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Planned results: design and implementation of an MVP of a robot for indoor use</w:t>
      </w:r>
    </w:p>
    <w:p w:rsidR="001665B9" w:rsidRDefault="00AA799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Target product: autonomous robot on an omnidirectional platform, capable of monitoring indoor greenhouse facilities</w:t>
      </w:r>
    </w:p>
    <w:p w:rsidR="001665B9" w:rsidRDefault="00AA799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Target intellectual property: code base, datasets, patent for the robot</w:t>
      </w:r>
    </w:p>
    <w:p w:rsidR="001665B9" w:rsidRDefault="001665B9">
      <w:pPr>
        <w:ind w:left="142"/>
        <w:rPr>
          <w:rFonts w:ascii="Arial" w:eastAsia="Arial" w:hAnsi="Arial" w:cs="Arial"/>
          <w:sz w:val="22"/>
          <w:szCs w:val="22"/>
        </w:rPr>
      </w:pPr>
    </w:p>
    <w:p w:rsidR="001665B9" w:rsidRDefault="00AA7993">
      <w:pPr>
        <w:jc w:val="right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R&amp;D - Research Development </w:t>
      </w:r>
    </w:p>
    <w:p w:rsidR="001665B9" w:rsidRDefault="00AA7993">
      <w:pPr>
        <w:jc w:val="right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IP - Intellectual Property</w:t>
      </w:r>
    </w:p>
    <w:p w:rsidR="001665B9" w:rsidRDefault="00AA7993">
      <w:pPr>
        <w:jc w:val="right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BD - Business Development</w:t>
      </w:r>
    </w:p>
    <w:tbl>
      <w:tblPr>
        <w:tblW w:w="10491" w:type="dxa"/>
        <w:tblInd w:w="-885" w:type="dxa"/>
        <w:tblLayout w:type="fixed"/>
        <w:tblLook w:val="0400" w:firstRow="0" w:lastRow="0" w:firstColumn="0" w:lastColumn="0" w:noHBand="0" w:noVBand="1"/>
      </w:tblPr>
      <w:tblGrid>
        <w:gridCol w:w="1982"/>
        <w:gridCol w:w="4281"/>
        <w:gridCol w:w="4228"/>
      </w:tblGrid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65B9" w:rsidRDefault="001665B9">
            <w:pPr>
              <w:widowControl w:val="0"/>
              <w:spacing w:after="200"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EXPECTED OUTCOMES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Q2, 2023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Computer vision system development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, data transport/architecture development, ROS2 migration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Marked data, trained 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>neural network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models, refined data transport modules (code)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1665B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1665B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Search for 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potential customers alternative to </w:t>
            </w:r>
            <w:proofErr w:type="spellStart"/>
            <w:r w:rsidR="009B05ED">
              <w:rPr>
                <w:rFonts w:ascii="Arial" w:eastAsia="Arial" w:hAnsi="Arial" w:cs="Arial"/>
                <w:sz w:val="22"/>
                <w:szCs w:val="22"/>
              </w:rPr>
              <w:t>Agroinvest</w:t>
            </w:r>
            <w:proofErr w:type="spellEnd"/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AG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Summary of alternative potential customers (in free format)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July, 2023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Quarterly reporting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Q3, 2023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Setup of n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ew sensors (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incl. 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 xml:space="preserve">cameras with global shutter), data transport implementation, suspension system redesign. 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obot design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improvement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: softer lines, appealing exterior.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Refined 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computer </w:t>
            </w:r>
            <w:r>
              <w:rPr>
                <w:rFonts w:ascii="Arial" w:eastAsia="Arial" w:hAnsi="Arial" w:cs="Arial"/>
                <w:sz w:val="22"/>
                <w:szCs w:val="22"/>
              </w:rPr>
              <w:t>vision subsystem, capable of capturing sharp images while moving. Refined suspension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Arranging the IP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>-related processes and action</w:t>
            </w:r>
          </w:p>
          <w:p w:rsidR="001665B9" w:rsidRDefault="001665B9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Definition and agreement 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strategy for protecting the results of the intellectual activity with the Knowledge Transfer Office</w:t>
            </w:r>
          </w:p>
          <w:p w:rsidR="001665B9" w:rsidRDefault="001665B9">
            <w:pPr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1665B9">
            <w:pPr>
              <w:widowControl w:val="0"/>
              <w:rPr>
                <w:color w:val="000000"/>
              </w:rPr>
            </w:pP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1665B9">
            <w:pPr>
              <w:widowControl w:val="0"/>
              <w:rPr>
                <w:color w:val="000000"/>
              </w:rPr>
            </w:pP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October, 2024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Quarterly reporting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Q4, 2023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Wheel blocks redesign, localization module development, camera pole development. Prototype development. Planning 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the production line: place, 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>instruments, suppliers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Refined wheel blocks, camera pole. 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>Refined 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rototype</w:t>
            </w:r>
            <w:r w:rsidR="009B05ED">
              <w:rPr>
                <w:rFonts w:ascii="Arial" w:eastAsia="Arial" w:hAnsi="Arial" w:cs="Arial"/>
                <w:color w:val="000000"/>
                <w:sz w:val="22"/>
                <w:szCs w:val="22"/>
              </w:rPr>
              <w:t>. Miniseries production line sketch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Start of patent application writing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Patent application draft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Attendance of the course on innovation and entrepreneurship by D. Kulish, preparation a Skolkovo residency application proposal under his guidance</w:t>
            </w:r>
            <w:r w:rsidR="00AA79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Skolkovo residency application draft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>. Possibly submitted in this period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February, 2024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Summing up the results for 1st year (Demo Day)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Q2, 2024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Localization module completion, trajectory following implementation, cooling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&amp;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isolation 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measures </w:t>
            </w:r>
            <w:r>
              <w:rPr>
                <w:rFonts w:ascii="Arial" w:eastAsia="Arial" w:hAnsi="Arial" w:cs="Arial"/>
                <w:sz w:val="22"/>
                <w:szCs w:val="22"/>
              </w:rPr>
              <w:t>development. Electric subsystem development, high-level control and logging development. Planning the mini-series production.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Cooling and isolation of the 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>ECU implemented</w:t>
            </w:r>
            <w:r>
              <w:rPr>
                <w:rFonts w:ascii="Arial" w:eastAsia="Arial" w:hAnsi="Arial" w:cs="Arial"/>
                <w:sz w:val="22"/>
                <w:szCs w:val="22"/>
              </w:rPr>
              <w:t>, localization, trajectory following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implemented</w:t>
            </w:r>
            <w:r>
              <w:rPr>
                <w:rFonts w:ascii="Arial" w:eastAsia="Arial" w:hAnsi="Arial" w:cs="Arial"/>
                <w:sz w:val="22"/>
                <w:szCs w:val="22"/>
              </w:rPr>
              <w:t>. Electric subsystem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refined</w:t>
            </w:r>
            <w:r>
              <w:rPr>
                <w:rFonts w:ascii="Arial" w:eastAsia="Arial" w:hAnsi="Arial" w:cs="Arial"/>
                <w:sz w:val="22"/>
                <w:szCs w:val="22"/>
              </w:rPr>
              <w:t>, high-level control</w:t>
            </w:r>
            <w:r w:rsidR="009B05ED">
              <w:rPr>
                <w:rFonts w:ascii="Arial" w:eastAsia="Arial" w:hAnsi="Arial" w:cs="Arial"/>
                <w:sz w:val="22"/>
                <w:szCs w:val="22"/>
              </w:rPr>
              <w:t xml:space="preserve"> implemented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Finalization of the patent application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9B05ED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Patent application ready for submission</w:t>
            </w:r>
          </w:p>
        </w:tc>
      </w:tr>
      <w:tr w:rsidR="001665B9" w:rsidTr="008816A0">
        <w:trPr>
          <w:trHeight w:val="79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Participation in business networking events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Pr="008816A0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business contacts</w:t>
            </w:r>
            <w:r w:rsidR="008816A0"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>Skolkovo residency application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certainly submitted.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April, 2024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Quarterly reporting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Q2, 2024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interface development, automatic charging implementation. MVP finalization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User interface, automatic charging. MVP ready.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Possibly responses to potential concurring patent claims; specification of distinctions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Addressed concurring patent claims</w:t>
            </w:r>
          </w:p>
        </w:tc>
      </w:tr>
      <w:tr w:rsidR="00AA7993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AA7993">
            <w:pPr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Participation in business networking events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8816A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New business contacts. </w:t>
            </w:r>
            <w:proofErr w:type="gramStart"/>
            <w:r w:rsidR="008816A0">
              <w:rPr>
                <w:rFonts w:ascii="Arial" w:eastAsia="Arial" w:hAnsi="Arial" w:cs="Arial"/>
                <w:sz w:val="22"/>
                <w:szCs w:val="22"/>
              </w:rPr>
              <w:t>Possibly</w:t>
            </w:r>
            <w:proofErr w:type="gramEnd"/>
            <w:r w:rsidR="008816A0">
              <w:rPr>
                <w:rFonts w:ascii="Arial" w:eastAsia="Arial" w:hAnsi="Arial" w:cs="Arial"/>
                <w:sz w:val="22"/>
                <w:szCs w:val="22"/>
              </w:rPr>
              <w:t xml:space="preserve"> by now acquired positive feedback on the 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>Skolkovo residency application</w:t>
            </w:r>
            <w:r w:rsidR="008816A0">
              <w:rPr>
                <w:rFonts w:ascii="Arial" w:eastAsia="Arial" w:hAnsi="Arial" w:cs="Arial"/>
                <w:sz w:val="22"/>
                <w:szCs w:val="22"/>
              </w:rPr>
              <w:t>. If not, refine the draft and make a new attempt in the next period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July, 2024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Quarterly reporting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Q3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, 2024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Extensive testing, refinement, documentation, application for TRL 6 confirmation papers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TRL 6 confirmation papers acquired</w:t>
            </w:r>
          </w:p>
        </w:tc>
      </w:tr>
      <w:tr w:rsidR="00AA7993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Possibly responses to potential concurring patent claims; specification of distinctions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993" w:rsidRDefault="00AA7993" w:rsidP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Addressed concurring patent claims</w:t>
            </w:r>
          </w:p>
        </w:tc>
      </w:tr>
      <w:tr w:rsidR="001665B9" w:rsidTr="008816A0">
        <w:trPr>
          <w:trHeight w:val="1151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 w:rsidP="008816A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Company registration</w:t>
            </w:r>
            <w:r w:rsidR="008816A0">
              <w:rPr>
                <w:rFonts w:ascii="Arial" w:eastAsia="Arial" w:hAnsi="Arial" w:cs="Arial"/>
                <w:sz w:val="22"/>
                <w:szCs w:val="22"/>
              </w:rPr>
              <w:t xml:space="preserve">. If necessary, refined 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>Skolkovo residency application</w:t>
            </w:r>
            <w:r w:rsidR="008816A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draft. Renewed submission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8816A0" w:rsidP="008816A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Skolkovo residency application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submitted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if applicable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ompany registered</w:t>
            </w:r>
            <w:r>
              <w:rPr>
                <w:rFonts w:ascii="Arial" w:eastAsia="Arial" w:hAnsi="Arial" w:cs="Arial"/>
                <w:sz w:val="22"/>
                <w:szCs w:val="22"/>
              </w:rPr>
              <w:t>. If not, then in the next period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October, 2024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Quarterly reporting</w:t>
            </w:r>
          </w:p>
        </w:tc>
      </w:tr>
      <w:tr w:rsidR="001665B9">
        <w:trPr>
          <w:trHeight w:val="298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Q4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, 2024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R&amp;D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Extensive testing, refinement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Pr="00AA7993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AA7993">
              <w:rPr>
                <w:rFonts w:ascii="Arial" w:eastAsia="Arial" w:hAnsi="Arial" w:cs="Arial"/>
                <w:sz w:val="22"/>
                <w:szCs w:val="22"/>
              </w:rPr>
              <w:t>Whole platform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polished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IP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1665B9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Pr="00AA7993" w:rsidRDefault="00AA7993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Possibly at least an A1 patent</w:t>
            </w:r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BD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8816A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We count on the positive outcome of the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Skolkovo residency application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by this period. If not, reattempt and register a company afterwards upon, hopefully, a positive assessment outcome. 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Communication with customers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8816A0">
            <w:pPr>
              <w:widowControl w:val="0"/>
            </w:pPr>
            <w:r>
              <w:rPr>
                <w:rFonts w:ascii="Arial" w:eastAsia="Arial" w:hAnsi="Arial" w:cs="Arial"/>
                <w:sz w:val="22"/>
                <w:szCs w:val="22"/>
              </w:rPr>
              <w:t>Company registered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 Skolkovo residency renewed attempt and company registration afterwards. </w:t>
            </w:r>
            <w:r w:rsidR="00AA7993">
              <w:rPr>
                <w:rFonts w:ascii="Arial" w:eastAsia="Arial" w:hAnsi="Arial" w:cs="Arial"/>
                <w:sz w:val="22"/>
                <w:szCs w:val="22"/>
              </w:rPr>
              <w:t>Possibly production and delivery contracts</w:t>
            </w:r>
            <w:bookmarkStart w:id="0" w:name="_GoBack"/>
            <w:bookmarkEnd w:id="0"/>
          </w:p>
        </w:tc>
      </w:tr>
      <w:tr w:rsidR="001665B9">
        <w:trPr>
          <w:trHeight w:val="298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February, 2025</w:t>
            </w:r>
          </w:p>
        </w:tc>
        <w:tc>
          <w:tcPr>
            <w:tcW w:w="8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65B9" w:rsidRDefault="00AA7993">
            <w:pPr>
              <w:widowControl w:val="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Final reporting</w:t>
            </w:r>
          </w:p>
        </w:tc>
      </w:tr>
    </w:tbl>
    <w:p w:rsidR="001665B9" w:rsidRDefault="001665B9">
      <w:pPr>
        <w:spacing w:after="200" w:line="276" w:lineRule="auto"/>
        <w:rPr>
          <w:rFonts w:ascii="Arial" w:eastAsia="Arial" w:hAnsi="Arial" w:cs="Arial"/>
          <w:b/>
          <w:i/>
          <w:sz w:val="22"/>
          <w:szCs w:val="22"/>
        </w:rPr>
      </w:pPr>
    </w:p>
    <w:p w:rsidR="001665B9" w:rsidRDefault="00AA7993">
      <w:pPr>
        <w:spacing w:after="200" w:line="276" w:lineRule="auto"/>
        <w:rPr>
          <w:rFonts w:ascii="Arial" w:eastAsia="Arial" w:hAnsi="Arial" w:cs="Arial"/>
          <w:i/>
          <w:sz w:val="20"/>
          <w:szCs w:val="20"/>
        </w:rPr>
      </w:pPr>
      <w:bookmarkStart w:id="1" w:name="_heading=h.gjdgxs"/>
      <w:bookmarkEnd w:id="1"/>
      <w:r>
        <w:rPr>
          <w:rFonts w:ascii="Arial" w:eastAsia="Arial" w:hAnsi="Arial" w:cs="Arial"/>
          <w:i/>
          <w:sz w:val="20"/>
          <w:szCs w:val="20"/>
          <w:highlight w:val="yellow"/>
        </w:rPr>
        <w:t>Please, list all key activities and expected deliverables for each current quarter in accordance with section</w:t>
      </w:r>
    </w:p>
    <w:sectPr w:rsidR="001665B9">
      <w:pgSz w:w="11906" w:h="16838"/>
      <w:pgMar w:top="1134" w:right="850" w:bottom="426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B9"/>
    <w:rsid w:val="000A65C1"/>
    <w:rsid w:val="001665B9"/>
    <w:rsid w:val="008816A0"/>
    <w:rsid w:val="009B05ED"/>
    <w:rsid w:val="00AA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D1A4"/>
  <w15:docId w15:val="{59D28F08-6F1A-448F-9E76-03D7614E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398"/>
    <w:rPr>
      <w:rFonts w:eastAsia="Times New Roman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C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F60"/>
    <w:pPr>
      <w:keepNext/>
      <w:outlineLvl w:val="4"/>
    </w:pPr>
    <w:rPr>
      <w:rFonts w:ascii="Arial" w:hAnsi="Arial" w:cs="Arial"/>
      <w:b/>
      <w:bCs/>
      <w:sz w:val="22"/>
      <w:szCs w:val="20"/>
      <w:lang w:eastAsia="en-US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qFormat/>
    <w:rsid w:val="00902F60"/>
    <w:rPr>
      <w:rFonts w:ascii="Arial" w:eastAsia="Times New Roman" w:hAnsi="Arial" w:cs="Arial"/>
      <w:b/>
      <w:bCs/>
      <w:szCs w:val="20"/>
      <w:lang w:val="en-US"/>
    </w:rPr>
  </w:style>
  <w:style w:type="character" w:customStyle="1" w:styleId="HeaderChar">
    <w:name w:val="Header Char"/>
    <w:basedOn w:val="DefaultParagraphFont"/>
    <w:link w:val="Header"/>
    <w:qFormat/>
    <w:rsid w:val="00902F60"/>
    <w:rPr>
      <w:rFonts w:ascii="Arial" w:eastAsia="Times New Roman" w:hAnsi="Arial" w:cs="Arial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7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4F554D"/>
    <w:rPr>
      <w:color w:val="0000FF" w:themeColor="hyperlink"/>
      <w:u w:val="single"/>
    </w:rPr>
  </w:style>
  <w:style w:type="character" w:customStyle="1" w:styleId="ts-alignment-element">
    <w:name w:val="ts-alignment-element"/>
    <w:basedOn w:val="DefaultParagraphFont"/>
    <w:qFormat/>
    <w:rsid w:val="008B3E53"/>
  </w:style>
  <w:style w:type="character" w:customStyle="1" w:styleId="ts-alignment-element-highlighted">
    <w:name w:val="ts-alignment-element-highlighted"/>
    <w:basedOn w:val="DefaultParagraphFont"/>
    <w:qFormat/>
    <w:rsid w:val="008B3E5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02F6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902F60"/>
    <w:pPr>
      <w:tabs>
        <w:tab w:val="center" w:pos="4320"/>
        <w:tab w:val="right" w:pos="8640"/>
      </w:tabs>
    </w:pPr>
    <w:rPr>
      <w:rFonts w:ascii="Arial" w:hAnsi="Arial" w:cs="Arial"/>
      <w:sz w:val="22"/>
      <w:szCs w:val="20"/>
      <w:lang w:eastAsia="en-US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8B3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aBPo8wh8r0FJqa7wLXUlb6HJAjA==">AMUW2mX+U5Md16iCNeoPJffSk5Wc3gv56mfuWAJ2WphRzd2o//fBVTyGrX2wu41HuC57LvR1nxKkRiMLQdOniEUYYI9CC2NB3rPG8VhEiZvZyz1gMOesydFjgrxdZMuSw6h7k/UnT57/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Pebalk</dc:creator>
  <dc:description/>
  <cp:lastModifiedBy>Pavel Osinenko</cp:lastModifiedBy>
  <cp:revision>6</cp:revision>
  <dcterms:created xsi:type="dcterms:W3CDTF">2023-05-24T14:45:00Z</dcterms:created>
  <dcterms:modified xsi:type="dcterms:W3CDTF">2023-05-24T15:05:00Z</dcterms:modified>
  <dc:language>en-US</dc:language>
</cp:coreProperties>
</file>