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b0e031c82f74c0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sdfsdf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sdfsdfsdf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sdfsdfsdfasdf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sdfsdfsdfasdfasdf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asdfg</w:t>
                </w:r>
              </w:p>
            </w:tc>
            <w:tc>
              <w:p>
                <w:r>
                  <w:t>sdafg</w:t>
                </w:r>
              </w:p>
            </w:tc>
            <w:tc>
              <w:p>
                <w:r>
                  <w:t>sadfg</w:t>
                </w:r>
              </w:p>
            </w:tc>
            <w:tc>
              <w:p>
                <w:r>
                  <w:t>asdfsgh</w:t>
                </w:r>
              </w:p>
            </w:tc>
          </w:tr>
        </w:tbl>
      </w:r>
      <w:bookmarkEnd w:id="0"/>
    </w:p>
    <w:p>
      <w:bookmarkStart w:name="HolmesWakes" w:id="1"/>
      <w:r>
        <w:t>фцвяувапролR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asdfghYHDTRGREW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3"/>
      <w:r>
        <w:t>hfdsaERTY</w:t>
      </w:r>
      <w:bookmarkEnd w:id="3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6"/>
      <w:r>
        <w:t>dsaSD543</w:t>
      </w:r>
      <w:bookmarkEnd w:id="6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7"/>
      <w:r>
        <w:t>FGHFD456YT</w:t>
      </w:r>
      <w:bookmarkEnd w:id="7"/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12</vt:lpwstr>
  </op:property>
</op:Properties>
</file>