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0" w:firstLine="720"/>
        <w:rPr/>
      </w:pPr>
      <w:r w:rsidDel="00000000" w:rsidR="00000000" w:rsidRPr="00000000">
        <w:rPr>
          <w:rtl w:val="0"/>
        </w:rPr>
        <w:t xml:space="preserve">Расположение мужских и женских туалетов в 1, 2, 3 и 5 корпусах. Какие-то особенности (например, мужской туалет на втором этаже для инвалидов)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720"/>
        <w:rPr/>
      </w:pPr>
      <w:r w:rsidDel="00000000" w:rsidR="00000000" w:rsidRPr="00000000">
        <w:rPr>
          <w:rtl w:val="0"/>
        </w:rPr>
        <w:t xml:space="preserve">В 1-м корпусе туалеты располагаются в коридоре, который ведёт в сторону запасной лестницы.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 этаж: Женский туалет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3 этаж: Мужской туалет. </w:t>
      </w:r>
    </w:p>
    <w:p w:rsidR="00000000" w:rsidDel="00000000" w:rsidP="00000000" w:rsidRDefault="00000000" w:rsidRPr="00000000" w14:paraId="00000006">
      <w:pPr>
        <w:ind w:left="0" w:firstLine="720"/>
        <w:rPr/>
      </w:pPr>
      <w:r w:rsidDel="00000000" w:rsidR="00000000" w:rsidRPr="00000000">
        <w:rPr>
          <w:rtl w:val="0"/>
        </w:rPr>
        <w:t xml:space="preserve">В блоке поточных аудиторий туалет совмещен: вверху по лестнице находится женский туалет, а сбоку слева — мужской туалет (в нем имеется кабинка для людей с ОВЗ).</w:t>
      </w:r>
    </w:p>
    <w:p w:rsidR="00000000" w:rsidDel="00000000" w:rsidP="00000000" w:rsidRDefault="00000000" w:rsidRPr="00000000" w14:paraId="00000007">
      <w:pPr>
        <w:ind w:left="0" w:firstLine="720"/>
        <w:rPr/>
      </w:pPr>
      <w:r w:rsidDel="00000000" w:rsidR="00000000" w:rsidRPr="00000000">
        <w:rPr>
          <w:rtl w:val="0"/>
        </w:rPr>
        <w:t xml:space="preserve">Во втором корпусе мужские туалеты располагаются на втором и третьем этажах, а женские на первом и втором. Следуйте указателем, чтобы найти их.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4"/>
        <w:szCs w:val="24"/>
        <w:lang w:val="en"/>
      </w:rPr>
    </w:rPrDefault>
    <w:pPrDefault>
      <w:pPr>
        <w:pBdr>
          <w:top w:color="auto" w:space="4" w:sz="0" w:val="none"/>
          <w:bottom w:color="auto" w:space="5" w:sz="0" w:val="none"/>
          <w:right w:color="auto" w:space="21" w:sz="0" w:val="none"/>
        </w:pBdr>
        <w:shd w:fill="ffffff" w:val="clear"/>
        <w:spacing w:line="360" w:lineRule="auto"/>
        <w:ind w:right="60" w:firstLine="720.0000000000001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right="-40.8661417322827" w:firstLine="0"/>
      <w:jc w:val="left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firstLine="0"/>
      <w:jc w:val="left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  <w:ind w:firstLine="720"/>
      <w:jc w:val="left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ind w:firstLine="720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ind w:firstLine="0"/>
      <w:jc w:val="center"/>
    </w:pPr>
    <w:rPr>
      <w:rFonts w:ascii="Montserrat SemiBold" w:cs="Montserrat SemiBold" w:eastAsia="Montserrat SemiBold" w:hAnsi="Montserrat SemiBold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