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left"/>
      </w:pPr>
      <w:r>
        <w:rPr>
          <w:rFonts w:ascii="Times New Roman" w:hAnsi="Times New Roman" w:eastAsia="Times New Roman"/>
          <w:b w:val="0"/>
          <w:i w:val="0"/>
          <w:sz w:val="20"/>
        </w:rPr>
        <w:t>УДК 629.5.052:681.5</w:t>
      </w:r>
    </w:p>
    <w:p>
      <w:pPr>
        <w:spacing w:line="240" w:lineRule="auto" w:before="0" w:after="0"/>
        <w:ind w:firstLine="0"/>
        <w:jc w:val="left"/>
      </w:pPr>
      <w:r>
        <w:rPr>
          <w:rFonts w:ascii="Times New Roman" w:hAnsi="Times New Roman" w:eastAsia="Times New Roman"/>
          <w:b w:val="0"/>
          <w:i w:val="0"/>
          <w:sz w:val="20"/>
        </w:rPr>
        <w:t>Церцеил Юрий Вячеславович</w:t>
      </w:r>
    </w:p>
    <w:p>
      <w:pPr>
        <w:spacing w:line="240" w:lineRule="auto" w:before="0" w:after="0"/>
        <w:ind w:firstLine="0"/>
        <w:jc w:val="left"/>
      </w:pPr>
      <w:r>
        <w:rPr>
          <w:rFonts w:ascii="Times New Roman" w:hAnsi="Times New Roman" w:eastAsia="Times New Roman"/>
          <w:b w:val="0"/>
          <w:i w:val="0"/>
          <w:sz w:val="20"/>
        </w:rPr>
        <w:t>Санкт-Петербургский государственный морской технический университет, студент</w:t>
      </w:r>
    </w:p>
    <w:p>
      <w:pPr>
        <w:spacing w:line="240" w:lineRule="auto" w:before="0" w:after="0"/>
        <w:ind w:firstLine="0"/>
        <w:jc w:val="left"/>
      </w:pPr>
      <w:r>
        <w:rPr>
          <w:rFonts w:ascii="Times New Roman" w:hAnsi="Times New Roman" w:eastAsia="Times New Roman"/>
          <w:b w:val="0"/>
          <w:i w:val="0"/>
          <w:sz w:val="20"/>
        </w:rPr>
        <w:t>e-mail: [адрес электронной почты]</w:t>
      </w:r>
    </w:p>
    <w:p>
      <w:pPr>
        <w:spacing w:line="240" w:lineRule="auto" w:before="80" w:after="40"/>
        <w:ind w:firstLine="0"/>
        <w:jc w:val="center"/>
      </w:pPr>
      <w:r>
        <w:rPr>
          <w:rFonts w:ascii="Times New Roman" w:hAnsi="Times New Roman" w:eastAsia="Times New Roman"/>
          <w:b/>
          <w:i w:val="0"/>
          <w:sz w:val="20"/>
        </w:rPr>
        <w:t>АВТОМАТИЧЕСКАЯ НАСТРОЙКА ПИД-РЕГУЛЯТОРА СИСТЕМЫ УПРАВЛЕНИЯ КУРСОМ СУДНА ПРИ ВНЕШНИХ ВОЗМУЩЕНИЯХ</w:t>
      </w:r>
    </w:p>
    <w:p>
      <w:pPr>
        <w:spacing w:line="240" w:lineRule="auto" w:before="0" w:after="0"/>
        <w:ind w:firstLine="0"/>
        <w:jc w:val="both"/>
      </w:pPr>
      <w:r>
        <w:rPr>
          <w:rFonts w:ascii="Times New Roman" w:hAnsi="Times New Roman" w:eastAsia="Times New Roman"/>
          <w:b w:val="0"/>
          <w:i w:val="0"/>
          <w:sz w:val="20"/>
        </w:rPr>
        <w:t>Аннотация. Разработан воспроизводимый вычислительный стенд управления курсом судна на основе модели Номото первого порядка. Предложена робастная автоматическая настройка ПИД-регулятора по девяти расчетным сценариям. По сравнению с исходной настройкой комплексный критерий снижен на 33,8 %, а при возмущении 10° время восстановления курса уменьшено с 114,6 до 57,4 с.</w:t>
      </w:r>
    </w:p>
    <w:p>
      <w:pPr>
        <w:spacing w:line="240" w:lineRule="auto" w:before="0" w:after="0"/>
        <w:ind w:firstLine="0"/>
        <w:jc w:val="both"/>
      </w:pPr>
      <w:r>
        <w:rPr>
          <w:rFonts w:ascii="Times New Roman" w:hAnsi="Times New Roman" w:eastAsia="Times New Roman"/>
          <w:b w:val="0"/>
          <w:i w:val="0"/>
          <w:sz w:val="20"/>
        </w:rPr>
        <w:t>Ключевые слова: управление судном, модель Номото, ПИД-регулятор, автоматическая настройка, робастность, моделирование.</w:t>
      </w:r>
    </w:p>
    <w:p>
      <w:pPr>
        <w:spacing w:line="240" w:lineRule="auto" w:before="0" w:after="0"/>
        <w:ind w:firstLine="0"/>
        <w:jc w:val="left"/>
      </w:pPr>
      <w:r>
        <w:rPr>
          <w:rFonts w:ascii="Times New Roman" w:hAnsi="Times New Roman" w:eastAsia="Times New Roman"/>
          <w:b w:val="0"/>
          <w:i w:val="0"/>
          <w:sz w:val="20"/>
        </w:rPr>
        <w:t>Yuri Vyacheslavovich Tsertseil</w:t>
      </w:r>
    </w:p>
    <w:p>
      <w:pPr>
        <w:spacing w:line="240" w:lineRule="auto" w:before="0" w:after="0"/>
        <w:ind w:firstLine="0"/>
        <w:jc w:val="left"/>
      </w:pPr>
      <w:r>
        <w:rPr>
          <w:rFonts w:ascii="Times New Roman" w:hAnsi="Times New Roman" w:eastAsia="Times New Roman"/>
          <w:b w:val="0"/>
          <w:i w:val="0"/>
          <w:sz w:val="20"/>
        </w:rPr>
        <w:t>Saint-Petersburg State Marine Technical University, student</w:t>
      </w:r>
    </w:p>
    <w:p>
      <w:pPr>
        <w:spacing w:line="240" w:lineRule="auto" w:before="0" w:after="0"/>
        <w:ind w:firstLine="0"/>
        <w:jc w:val="left"/>
      </w:pPr>
      <w:r>
        <w:rPr>
          <w:rFonts w:ascii="Times New Roman" w:hAnsi="Times New Roman" w:eastAsia="Times New Roman"/>
          <w:b w:val="0"/>
          <w:i w:val="0"/>
          <w:sz w:val="20"/>
        </w:rPr>
        <w:t>e-mail: [e-mail address]</w:t>
      </w:r>
    </w:p>
    <w:p>
      <w:pPr>
        <w:spacing w:line="240" w:lineRule="auto" w:before="80" w:after="40"/>
        <w:ind w:firstLine="0"/>
        <w:jc w:val="center"/>
      </w:pPr>
      <w:r>
        <w:rPr>
          <w:rFonts w:ascii="Times New Roman" w:hAnsi="Times New Roman" w:eastAsia="Times New Roman"/>
          <w:b/>
          <w:i w:val="0"/>
          <w:sz w:val="20"/>
        </w:rPr>
        <w:t>AUTOMATIC TUNING OF A PID CONTROLLER FOR SHIP HEADING CONTROL UNDER EXTERNAL DISTURBANCES</w:t>
      </w:r>
    </w:p>
    <w:p>
      <w:pPr>
        <w:spacing w:line="240" w:lineRule="auto" w:before="0" w:after="0"/>
        <w:ind w:firstLine="0"/>
        <w:jc w:val="both"/>
      </w:pPr>
      <w:r>
        <w:rPr>
          <w:rFonts w:ascii="Times New Roman" w:hAnsi="Times New Roman" w:eastAsia="Times New Roman"/>
          <w:b w:val="0"/>
          <w:i w:val="0"/>
          <w:sz w:val="20"/>
        </w:rPr>
        <w:t>Abstract. A reproducible ship-heading control test bench based on the first-order Nomoto model is developed. Robust PID autotuning is performed over nine simulation scenarios. Compared with the initial tuning, the composite objective is reduced by 33.8%, while the recovery time under a 10° equivalent disturbance decreases from 114.6 to 57.4 s.</w:t>
      </w:r>
    </w:p>
    <w:p>
      <w:pPr>
        <w:spacing w:line="240" w:lineRule="auto" w:before="0" w:after="0"/>
        <w:ind w:firstLine="0"/>
        <w:jc w:val="both"/>
      </w:pPr>
      <w:r>
        <w:rPr>
          <w:rFonts w:ascii="Times New Roman" w:hAnsi="Times New Roman" w:eastAsia="Times New Roman"/>
          <w:b w:val="0"/>
          <w:i w:val="0"/>
          <w:sz w:val="20"/>
        </w:rPr>
        <w:t>Keywords: ship control, Nomoto model, PID controller, automatic tuning, robustness, simulation.</w:t>
      </w:r>
    </w:p>
    <w:p>
      <w:pPr>
        <w:spacing w:before="80" w:after="40"/>
        <w:ind w:firstLine="0"/>
        <w:jc w:val="left"/>
      </w:pPr>
      <w:r>
        <w:rPr>
          <w:rFonts w:ascii="Times New Roman" w:hAnsi="Times New Roman" w:eastAsia="Times New Roman"/>
          <w:b/>
          <w:i w:val="0"/>
          <w:sz w:val="20"/>
        </w:rPr>
        <w:t>Введение</w:t>
      </w:r>
    </w:p>
    <w:p>
      <w:pPr>
        <w:spacing w:line="240" w:lineRule="auto" w:before="0" w:after="0"/>
        <w:ind w:firstLine="283"/>
        <w:jc w:val="both"/>
      </w:pPr>
      <w:r>
        <w:rPr>
          <w:rFonts w:ascii="Times New Roman" w:hAnsi="Times New Roman" w:eastAsia="Times New Roman"/>
          <w:b w:val="0"/>
          <w:i w:val="0"/>
          <w:sz w:val="20"/>
        </w:rPr>
        <w:t>Автоматическое удержание курса относится к базовым задачам управления движением судов и безэкипажных надводных аппаратов. На качество управления одновременно влияют динамические свойства объекта, ограничения рулевого привода и внешние воздействия. Для синтеза судовых авторулевых широко применяется модель Номото, представляющая движение по курсу в форме интегратора с инерционным звеном [1-3].</w:t>
      </w:r>
    </w:p>
    <w:p>
      <w:pPr>
        <w:spacing w:line="240" w:lineRule="auto" w:before="0" w:after="0"/>
        <w:ind w:firstLine="283"/>
        <w:jc w:val="both"/>
      </w:pPr>
      <w:r>
        <w:rPr>
          <w:rFonts w:ascii="Times New Roman" w:hAnsi="Times New Roman" w:eastAsia="Times New Roman"/>
          <w:b w:val="0"/>
          <w:i w:val="0"/>
          <w:sz w:val="20"/>
        </w:rPr>
        <w:t>Фиксированные коэффициенты ПИД-регулятора могут обеспечивать приемлемую работу в одном расчетном режиме, но терять качество при изменении возмущений или параметров объекта. Современные исследования рассматривают адаптивные, планируемые по режиму и автоматически настраиваемые регуляторы, в том числе для безэкипажных судов [5-7]. При этом для учебной и предварительной инженерной задачи важен алгоритм, который остается прозрачным, воспроизводимым и не требует сложной интеллектуальной модели.</w:t>
      </w:r>
    </w:p>
    <w:p>
      <w:pPr>
        <w:spacing w:line="240" w:lineRule="auto" w:before="0" w:after="0"/>
        <w:ind w:firstLine="283"/>
        <w:jc w:val="both"/>
      </w:pPr>
      <w:r>
        <w:rPr>
          <w:rFonts w:ascii="Times New Roman" w:hAnsi="Times New Roman" w:eastAsia="Times New Roman"/>
          <w:b w:val="0"/>
          <w:i w:val="0"/>
          <w:sz w:val="20"/>
        </w:rPr>
        <w:t>Цель работы - разработать воспроизводимый вычислительный стенд и исследовать возможность автоматического подбора коэффициентов ПИД-регулятора по многокритериальному критерию в нескольких расчетных сценариях. В отличие от настройки по одному переходному процессу, в оптимизацию одновременно включены три уровня постоянного возмущения и три варианта параметров модели судна.</w:t>
      </w:r>
    </w:p>
    <w:p>
      <w:pPr>
        <w:spacing w:before="80" w:after="40"/>
        <w:ind w:firstLine="0"/>
        <w:jc w:val="left"/>
      </w:pPr>
      <w:r>
        <w:rPr>
          <w:rFonts w:ascii="Times New Roman" w:hAnsi="Times New Roman" w:eastAsia="Times New Roman"/>
          <w:b/>
          <w:i w:val="0"/>
          <w:sz w:val="20"/>
        </w:rPr>
        <w:t>Математическая модель и регулятор</w:t>
      </w:r>
    </w:p>
    <w:p>
      <w:pPr>
        <w:spacing w:line="240" w:lineRule="auto" w:before="0" w:after="0"/>
        <w:ind w:firstLine="283"/>
        <w:jc w:val="both"/>
      </w:pPr>
      <w:r>
        <w:rPr>
          <w:rFonts w:ascii="Times New Roman" w:hAnsi="Times New Roman" w:eastAsia="Times New Roman"/>
          <w:b w:val="0"/>
          <w:i w:val="0"/>
          <w:sz w:val="20"/>
        </w:rPr>
        <w:t>Динамика рыскания описывается моделью Номото первого порядка:</w:t>
      </w:r>
    </w:p>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r>
                <m:t>T</m:t>
              </m:r>
              <m:r>
                <m:t>·</m:t>
              </m:r>
              <m:f>
                <m:num>
                  <m:r>
                    <m:t>d</m:t>
                  </m:r>
                  <m:r>
                    <m:t>r</m:t>
                  </m:r>
                </m:num>
                <m:den>
                  <m:r>
                    <m:t>d</m:t>
                  </m:r>
                  <m:r>
                    <m:t>t</m:t>
                  </m:r>
                </m:den>
              </m:f>
              <m:r>
                <m:t>+</m:t>
              </m:r>
              <m:r>
                <m:t>r</m:t>
              </m:r>
              <m:r>
                <m:t>=</m:t>
              </m:r>
              <m:r>
                <m:t>K</m:t>
              </m:r>
              <m:r>
                <m:t>·</m:t>
              </m:r>
              <m:d>
                <m:dPr>
                  <m:begChr m:val="("/>
                  <m:endChr m:val=")"/>
                </m:dPr>
                <m:e>
                  <m:r>
                    <m:t>δ</m:t>
                  </m:r>
                  <m:r>
                    <m:t>+</m:t>
                  </m:r>
                  <m:sSub>
                    <m:e>
                      <m:r>
                        <m:t>δ</m:t>
                      </m:r>
                    </m:e>
                    <m:sub>
                      <m:r>
                        <m:rPr>
                          <m:sty m:val="p"/>
                        </m:rPr>
                        <m:t>в</m:t>
                      </m:r>
                    </m:sub>
                  </m:sSub>
                </m:e>
              </m:d>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(1)</w:t>
            </w:r>
          </w:p>
        </w:tc>
      </w:tr>
    </w:tbl>
    <w:p>
      <w:pPr>
        <w:spacing w:line="240" w:lineRule="auto" w:before="0" w:after="0"/>
        <w:ind w:firstLine="283"/>
        <w:jc w:val="both"/>
      </w:pPr>
      <w:r>
        <w:rPr>
          <w:rFonts w:ascii="Times New Roman" w:hAnsi="Times New Roman" w:eastAsia="Times New Roman"/>
          <w:b w:val="0"/>
          <w:i w:val="0"/>
          <w:sz w:val="20"/>
        </w:rPr>
        <w:t>где T - постоянная времени, с; K - коэффициент усиления по угловой скорости, с⁻¹; r - угловая скорость рыскания, град/с; δ - фактический угол руля, град; δв - нормированное внешнее воздействие, выраженное эквивалентным углом руля. Курс ψ рассчитывается интегрированием:</w:t>
      </w:r>
    </w:p>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f>
                <m:num>
                  <m:r>
                    <m:t>d</m:t>
                  </m:r>
                  <m:r>
                    <m:t>ψ</m:t>
                  </m:r>
                </m:num>
                <m:den>
                  <m:r>
                    <m:t>d</m:t>
                  </m:r>
                  <m:r>
                    <m:t>t</m:t>
                  </m:r>
                </m:den>
              </m:f>
              <m:r>
                <m:t>=</m:t>
              </m:r>
              <m:r>
                <m:t>r</m:t>
              </m:r>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(2)</w:t>
            </w:r>
          </w:p>
        </w:tc>
      </w:tr>
    </w:tbl>
    <w:p>
      <w:pPr>
        <w:spacing w:line="240" w:lineRule="auto" w:before="0" w:after="0"/>
        <w:ind w:firstLine="283"/>
        <w:jc w:val="both"/>
      </w:pPr>
      <w:r>
        <w:rPr>
          <w:rFonts w:ascii="Times New Roman" w:hAnsi="Times New Roman" w:eastAsia="Times New Roman"/>
          <w:b w:val="0"/>
          <w:i w:val="0"/>
          <w:sz w:val="20"/>
        </w:rPr>
        <w:t>Для номинальной модели использованы K = 0,185 с⁻¹ и T = 107,3 с, соответствующие распространенному примеру судна класса Mariner [2, 5]. Угол руля ограничен значением ±35°, скорость перекладки - 5°/с. Эти ограничения включены в модель до расчета динамики объекта.</w:t>
      </w:r>
    </w:p>
    <w:p>
      <w:pPr>
        <w:spacing w:line="240" w:lineRule="auto" w:before="0" w:after="0"/>
        <w:ind w:firstLine="283"/>
        <w:jc w:val="both"/>
      </w:pPr>
      <w:r>
        <w:rPr>
          <w:rFonts w:ascii="Times New Roman" w:hAnsi="Times New Roman" w:eastAsia="Times New Roman"/>
          <w:b w:val="0"/>
          <w:i w:val="0"/>
          <w:sz w:val="20"/>
        </w:rPr>
        <w:t>Ошибка курса и управляющее воздействие определяются выражениями</w:t>
      </w:r>
    </w:p>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r>
                <m:t>e</m:t>
              </m:r>
              <m:d>
                <m:dPr>
                  <m:begChr m:val="("/>
                  <m:endChr m:val=")"/>
                </m:dPr>
                <m:e>
                  <m:r>
                    <m:t>t</m:t>
                  </m:r>
                </m:e>
              </m:d>
              <m:r>
                <m:t>=</m:t>
              </m:r>
              <m:sSub>
                <m:e>
                  <m:r>
                    <m:t>ψ</m:t>
                  </m:r>
                </m:e>
                <m:sub>
                  <m:r>
                    <m:rPr>
                      <m:sty m:val="p"/>
                    </m:rPr>
                    <m:t>зад</m:t>
                  </m:r>
                </m:sub>
              </m:sSub>
              <m:d>
                <m:dPr>
                  <m:begChr m:val="("/>
                  <m:endChr m:val=")"/>
                </m:dPr>
                <m:e>
                  <m:r>
                    <m:t>t</m:t>
                  </m:r>
                </m:e>
              </m:d>
              <m:r>
                <m:t>−</m:t>
              </m:r>
              <m:r>
                <m:t>ψ</m:t>
              </m:r>
              <m:d>
                <m:dPr>
                  <m:begChr m:val="("/>
                  <m:endChr m:val=")"/>
                </m:dPr>
                <m:e>
                  <m:r>
                    <m:t>t</m:t>
                  </m:r>
                </m:e>
              </m:d>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(3)</w:t>
            </w:r>
          </w:p>
        </w:tc>
      </w:tr>
    </w:tbl>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sSub>
                <m:e>
                  <m:r>
                    <m:t>δ</m:t>
                  </m:r>
                </m:e>
                <m:sub>
                  <m:r>
                    <m:rPr>
                      <m:sty m:val="p"/>
                    </m:rPr>
                    <m:t>зад</m:t>
                  </m:r>
                </m:sub>
              </m:sSub>
              <m:r>
                <m:t>=</m:t>
              </m:r>
              <m:sSub>
                <m:e>
                  <m:r>
                    <m:t>K</m:t>
                  </m:r>
                </m:e>
                <m:sub>
                  <m:r>
                    <m:rPr>
                      <m:sty m:val="p"/>
                    </m:rPr>
                    <m:t>p</m:t>
                  </m:r>
                </m:sub>
              </m:sSub>
              <m:r>
                <m:t>·</m:t>
              </m:r>
              <m:r>
                <m:t>e</m:t>
              </m:r>
              <m:r>
                <m:t>+</m:t>
              </m:r>
              <m:sSub>
                <m:e>
                  <m:r>
                    <m:t>K</m:t>
                  </m:r>
                </m:e>
                <m:sub>
                  <m:r>
                    <m:rPr>
                      <m:sty m:val="p"/>
                    </m:rPr>
                    <m:t>i</m:t>
                  </m:r>
                </m:sub>
              </m:sSub>
              <m:r>
                <m:t>·</m:t>
              </m:r>
              <m:r>
                <m:t>∫</m:t>
              </m:r>
              <m:r>
                <m:t>e</m:t>
              </m:r>
              <m:r>
                <m:t>d</m:t>
              </m:r>
              <m:r>
                <m:t>t</m:t>
              </m:r>
              <m:r>
                <m:t>−</m:t>
              </m:r>
              <m:sSub>
                <m:e>
                  <m:r>
                    <m:t>K</m:t>
                  </m:r>
                </m:e>
                <m:sub>
                  <m:r>
                    <m:rPr>
                      <m:sty m:val="p"/>
                    </m:rPr>
                    <m:t>d</m:t>
                  </m:r>
                </m:sub>
              </m:sSub>
              <m:r>
                <m:t>·</m:t>
              </m:r>
              <m:r>
                <m:t>r</m:t>
              </m:r>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(4)</w:t>
            </w:r>
          </w:p>
        </w:tc>
      </w:tr>
    </w:tbl>
    <w:p>
      <w:pPr>
        <w:spacing w:line="240" w:lineRule="auto" w:before="0" w:after="0"/>
        <w:ind w:firstLine="283"/>
        <w:jc w:val="both"/>
      </w:pPr>
      <w:r>
        <w:rPr>
          <w:rFonts w:ascii="Times New Roman" w:hAnsi="Times New Roman" w:eastAsia="Times New Roman"/>
          <w:b w:val="0"/>
          <w:i w:val="0"/>
          <w:sz w:val="20"/>
        </w:rPr>
        <w:t>Дифференциальная составляющая формируется по измеренной угловой скорости, что устраняет дифференциальный скачок при изменении задания курса. Для интегральной части реализовано условное интегрирование (anti-windup). Исходная ручная настройка принята равной Kp = 9, Ki = 0,08 с⁻¹, Kd = 120 с.</w:t>
      </w:r>
    </w:p>
    <w:p>
      <w:pPr>
        <w:ind w:firstLine="0"/>
        <w:jc w:val="center"/>
      </w:pPr>
      <w:r>
        <w:drawing>
          <wp:inline xmlns:a="http://schemas.openxmlformats.org/drawingml/2006/main" xmlns:pic="http://schemas.openxmlformats.org/drawingml/2006/picture">
            <wp:extent cx="3600000" cy="1364516"/>
            <wp:docPr id="1" name="Picture 1"/>
            <wp:cNvGraphicFramePr>
              <a:graphicFrameLocks noChangeAspect="1"/>
            </wp:cNvGraphicFramePr>
            <a:graphic>
              <a:graphicData uri="http://schemas.openxmlformats.org/drawingml/2006/picture">
                <pic:pic>
                  <pic:nvPicPr>
                    <pic:cNvPr id="0" name="scheme_autotune.png"/>
                    <pic:cNvPicPr/>
                  </pic:nvPicPr>
                  <pic:blipFill>
                    <a:blip r:embed="rId10"/>
                    <a:stretch>
                      <a:fillRect/>
                    </a:stretch>
                  </pic:blipFill>
                  <pic:spPr>
                    <a:xfrm>
                      <a:off x="0" y="0"/>
                      <a:ext cx="3600000" cy="1364516"/>
                    </a:xfrm>
                    <a:prstGeom prst="rect"/>
                  </pic:spPr>
                </pic:pic>
              </a:graphicData>
            </a:graphic>
          </wp:inline>
        </w:drawing>
      </w:r>
    </w:p>
    <w:p>
      <w:pPr>
        <w:spacing w:after="40"/>
        <w:ind w:firstLine="0"/>
        <w:jc w:val="center"/>
      </w:pPr>
      <w:r>
        <w:rPr>
          <w:rFonts w:ascii="Times New Roman" w:hAnsi="Times New Roman" w:eastAsia="Times New Roman"/>
          <w:b w:val="0"/>
          <w:i w:val="0"/>
          <w:sz w:val="18"/>
        </w:rPr>
        <w:t>Рисунок 1 – Структура вычислительного стенда и контура автонастройки</w:t>
      </w:r>
    </w:p>
    <w:p>
      <w:pPr>
        <w:spacing w:before="80" w:after="40"/>
        <w:ind w:firstLine="0"/>
        <w:jc w:val="left"/>
      </w:pPr>
      <w:r>
        <w:rPr>
          <w:rFonts w:ascii="Times New Roman" w:hAnsi="Times New Roman" w:eastAsia="Times New Roman"/>
          <w:b/>
          <w:i w:val="0"/>
          <w:sz w:val="20"/>
        </w:rPr>
        <w:t>Метод автоматической настройки</w:t>
      </w:r>
    </w:p>
    <w:p>
      <w:pPr>
        <w:spacing w:line="240" w:lineRule="auto" w:before="0" w:after="0"/>
        <w:ind w:firstLine="283"/>
        <w:jc w:val="both"/>
      </w:pPr>
      <w:r>
        <w:rPr>
          <w:rFonts w:ascii="Times New Roman" w:hAnsi="Times New Roman" w:eastAsia="Times New Roman"/>
          <w:b w:val="0"/>
          <w:i w:val="0"/>
          <w:sz w:val="20"/>
        </w:rPr>
        <w:t>Автонастройка выполнялась не для одного опыта, а для девяти сценариев. Использованы постоянные возмущения δв = 5°, 10° и 15°. Для каждого уровня рассчитывались номинальная модель (K, T), более маневренный вариант (1,1K; 0,9T) и более инерционный вариант (0,9K; 1,1T). Такое построение не является полной робастной теорией управления, но позволяет избежать настройки исключительно под одну точку модели.</w:t>
      </w:r>
    </w:p>
    <w:p>
      <w:pPr>
        <w:spacing w:line="240" w:lineRule="auto" w:before="0" w:after="0"/>
        <w:ind w:firstLine="283"/>
        <w:jc w:val="both"/>
      </w:pPr>
      <w:r>
        <w:rPr>
          <w:rFonts w:ascii="Times New Roman" w:hAnsi="Times New Roman" w:eastAsia="Times New Roman"/>
          <w:b w:val="0"/>
          <w:i w:val="0"/>
          <w:sz w:val="20"/>
        </w:rPr>
        <w:t>Для каждого сценария s применен многокритериальный безразмерный функционал:</w:t>
      </w:r>
    </w:p>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sSub>
                <m:e>
                  <m:r>
                    <m:t>J</m:t>
                  </m:r>
                </m:e>
                <m:sub>
                  <m:r>
                    <m:rPr>
                      <m:sty m:val="p"/>
                    </m:rPr>
                    <m:t>s</m:t>
                  </m:r>
                </m:sub>
              </m:sSub>
              <m:r>
                <m:t>=</m:t>
              </m:r>
              <m:r>
                <m:t>Σ</m:t>
              </m:r>
              <m:sSub>
                <m:e>
                  <m:r>
                    <m:t>w</m:t>
                  </m:r>
                </m:e>
                <m:sub>
                  <m:r>
                    <m:rPr>
                      <m:sty m:val="p"/>
                    </m:rPr>
                    <m:t>i</m:t>
                  </m:r>
                </m:sub>
              </m:sSub>
              <m:r>
                <m:t>·</m:t>
              </m:r>
              <m:sSub>
                <m:e>
                  <m:r>
                    <m:t>q</m:t>
                  </m:r>
                </m:e>
                <m:sub>
                  <m:r>
                    <m:rPr>
                      <m:sty m:val="p"/>
                    </m:rPr>
                    <m:t>i</m:t>
                  </m:r>
                </m:sub>
              </m:sSub>
              <m:r>
                <m:t>+</m:t>
              </m:r>
              <m:sSub>
                <m:e>
                  <m:r>
                    <m:t>P</m:t>
                  </m:r>
                </m:e>
                <m:sub>
                  <m:r>
                    <m:rPr>
                      <m:sty m:val="p"/>
                    </m:rPr>
                    <m:t>нас</m:t>
                  </m:r>
                </m:sub>
              </m:sSub>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(5)</w:t>
            </w:r>
          </w:p>
        </w:tc>
      </w:tr>
    </w:tbl>
    <w:p>
      <w:pPr>
        <w:spacing w:line="240" w:lineRule="auto" w:before="0" w:after="0"/>
        <w:ind w:firstLine="283"/>
        <w:jc w:val="both"/>
      </w:pPr>
      <w:r>
        <w:rPr>
          <w:rFonts w:ascii="Times New Roman" w:hAnsi="Times New Roman" w:eastAsia="Times New Roman"/>
          <w:b w:val="0"/>
          <w:i w:val="0"/>
          <w:sz w:val="20"/>
        </w:rPr>
        <w:t>Вектор нормированных показателей qi включает IAE/500, tвосст*/200, Δψmax/2, δRMS/10, tуст/60 и σ/1; соответствующие веса wi равны 0,30; 0,20; 0,15; 0,10; 0,15 и 0,10. Здесь IAE - интеграл абсолютной ошибки за 600 с; tвосст* - время возврата в полосу ±0,5° после возмущения (при отсутствии возврата принимается 380 с); Δψmax - максимальное отклонение после возмущения; δRMS - среднеквадратичный угол руля; tуст - время установления до появления возмущения; σ - перерегулирование. Штраф Pнас возрастает при |δ|max &gt; 33°, то есть при приближении к ограничению ±35°. Итоговый функционал учитывает среднее и наихудшее значение по сценариям:</w:t>
      </w:r>
    </w:p>
    <w:tbl>
      <w:tblPr>
        <w:tblW w:type="auto" w:w="0"/>
        <w:jc w:val="center"/>
        <w:tblLook w:firstColumn="1" w:firstRow="1" w:lastColumn="0" w:lastRow="0" w:noHBand="0" w:noVBand="1" w:val="04A0"/>
      </w:tblPr>
      <w:tblGrid>
        <w:gridCol w:w="5216"/>
        <w:gridCol w:w="680"/>
      </w:tblGrid>
      <w:tr>
        <w:tc>
          <w:tcPr>
            <w:tcW w:type="dxa" w:w="3317"/>
            <w:tcBorders>
              <w:top w:val="nil"/>
              <w:left w:val="nil"/>
              <w:bottom w:val="nil"/>
              <w:right w:val="nil"/>
              <w:insideH w:val="nil"/>
              <w:insideV w:val="nil"/>
            </w:tcBorders>
          </w:tcPr>
          <w:p>
            <w:pPr>
              <w:ind w:firstLine="0"/>
              <w:jc w:val="center"/>
            </w:pPr>
            <m:oMath>
              <m:r>
                <m:t>J</m:t>
              </m:r>
              <m:r>
                <m:t>=</m:t>
              </m:r>
              <m:r>
                <m:t>mean</m:t>
              </m:r>
              <m:d>
                <m:dPr>
                  <m:begChr m:val="("/>
                  <m:endChr m:val=")"/>
                </m:dPr>
                <m:e>
                  <m:sSub>
                    <m:e>
                      <m:r>
                        <m:t>J</m:t>
                      </m:r>
                    </m:e>
                    <m:sub>
                      <m:r>
                        <m:rPr>
                          <m:sty m:val="p"/>
                        </m:rPr>
                        <m:t>s</m:t>
                      </m:r>
                    </m:sub>
                  </m:sSub>
                </m:e>
              </m:d>
              <m:r>
                <m:t>+</m:t>
              </m:r>
              <m:r>
                <m:t>0,20·max</m:t>
              </m:r>
              <m:d>
                <m:dPr>
                  <m:begChr m:val="("/>
                  <m:endChr m:val=")"/>
                </m:dPr>
                <m:e>
                  <m:sSub>
                    <m:e>
                      <m:r>
                        <m:t>J</m:t>
                      </m:r>
                    </m:e>
                    <m:sub>
                      <m:r>
                        <m:rPr>
                          <m:sty m:val="p"/>
                        </m:rPr>
                        <m:t>s</m:t>
                      </m:r>
                    </m:sub>
                  </m:sSub>
                </m:e>
              </m:d>
            </m:oMath>
          </w:p>
        </w:tc>
        <w:tc>
          <w:tcPr>
            <w:tcW w:type="dxa" w:w="3317"/>
            <w:tcBorders>
              <w:top w:val="nil"/>
              <w:left w:val="nil"/>
              <w:bottom w:val="nil"/>
              <w:right w:val="nil"/>
              <w:insideH w:val="nil"/>
              <w:insideV w:val="nil"/>
            </w:tcBorders>
          </w:tcPr>
          <w:p>
            <w:pPr>
              <w:ind w:firstLine="0"/>
              <w:jc w:val="right"/>
            </w:pPr>
            <w:r>
              <w:rPr>
                <w:rFonts w:ascii="Times New Roman" w:hAnsi="Times New Roman" w:eastAsia="Times New Roman"/>
                <w:b w:val="0"/>
                <w:i w:val="0"/>
                <w:sz w:val="20"/>
              </w:rPr>
              <w:t>(6)</w:t>
            </w:r>
          </w:p>
        </w:tc>
      </w:tr>
    </w:tbl>
    <w:p>
      <w:pPr>
        <w:spacing w:line="240" w:lineRule="auto" w:before="0" w:after="0"/>
        <w:ind w:firstLine="283"/>
        <w:jc w:val="both"/>
      </w:pPr>
      <w:r>
        <w:rPr>
          <w:rFonts w:ascii="Times New Roman" w:hAnsi="Times New Roman" w:eastAsia="Times New Roman"/>
          <w:b w:val="0"/>
          <w:i w:val="0"/>
          <w:sz w:val="20"/>
        </w:rPr>
        <w:t>Поиск выполнялся детерминированным многоуровневым методом шаблонного поиска (pattern search). Стартовая точка соответствовала ручной настройке. На каждом шаге проверялись 26 соседних комбинаций трех коэффициентов, после прекращения улучшения шаг уменьшался вдвое. Выполнено пять уровней детализации и 304 оценки функционала. Диапазоны поиска: Kp = 4…14; Ki = 0,03…0,20 с⁻¹; Kd = 50…220 с. Метод не гарантирует нахождение глобального минимума; его преимущество в данной работе - простота и полная воспроизводимость.</w:t>
      </w:r>
    </w:p>
    <w:p>
      <w:pPr>
        <w:spacing w:line="240" w:lineRule="auto" w:before="0" w:after="0"/>
        <w:ind w:firstLine="283"/>
        <w:jc w:val="both"/>
      </w:pPr>
      <w:r>
        <w:rPr>
          <w:rFonts w:ascii="Times New Roman" w:hAnsi="Times New Roman" w:eastAsia="Times New Roman"/>
          <w:b w:val="0"/>
          <w:i w:val="0"/>
          <w:sz w:val="20"/>
        </w:rPr>
        <w:t>Численное интегрирование выполнено явным методом Эйлера с шагом 0,05 с. Длительность опыта составляла 600 с. Задание курса изменялось с 0° до 5° на 20-й секунде, постоянное возмущение вводилось на 220-й секунде.</w:t>
      </w:r>
    </w:p>
    <w:p>
      <w:pPr>
        <w:spacing w:before="80" w:after="40"/>
        <w:ind w:firstLine="0"/>
        <w:jc w:val="left"/>
      </w:pPr>
      <w:r>
        <w:rPr>
          <w:rFonts w:ascii="Times New Roman" w:hAnsi="Times New Roman" w:eastAsia="Times New Roman"/>
          <w:b/>
          <w:i w:val="0"/>
          <w:sz w:val="20"/>
        </w:rPr>
        <w:t>Результаты</w:t>
      </w:r>
    </w:p>
    <w:p>
      <w:pPr>
        <w:spacing w:line="240" w:lineRule="auto" w:before="0" w:after="0"/>
        <w:ind w:firstLine="283"/>
        <w:jc w:val="both"/>
      </w:pPr>
      <w:r>
        <w:rPr>
          <w:rFonts w:ascii="Times New Roman" w:hAnsi="Times New Roman" w:eastAsia="Times New Roman"/>
          <w:b w:val="0"/>
          <w:i w:val="0"/>
          <w:sz w:val="20"/>
        </w:rPr>
        <w:t>Автоматический поиск сформировал настройки Kp = 14, Ki = 0,1775 с⁻¹ и Kd = 206,25 с. Значение комплексного критерия J снизилось с 0,7660 до 0,5071, то есть на 33,8 %.</w:t>
      </w:r>
    </w:p>
    <w:p>
      <w:pPr>
        <w:ind w:firstLine="0"/>
        <w:jc w:val="center"/>
      </w:pPr>
      <w:r>
        <w:drawing>
          <wp:inline xmlns:a="http://schemas.openxmlformats.org/drawingml/2006/main" xmlns:pic="http://schemas.openxmlformats.org/drawingml/2006/picture">
            <wp:extent cx="3600000" cy="1887097"/>
            <wp:docPr id="2" name="Picture 2"/>
            <wp:cNvGraphicFramePr>
              <a:graphicFrameLocks noChangeAspect="1"/>
            </wp:cNvGraphicFramePr>
            <a:graphic>
              <a:graphicData uri="http://schemas.openxmlformats.org/drawingml/2006/picture">
                <pic:pic>
                  <pic:nvPicPr>
                    <pic:cNvPr id="0" name="course_autotune.png"/>
                    <pic:cNvPicPr/>
                  </pic:nvPicPr>
                  <pic:blipFill>
                    <a:blip r:embed="rId11"/>
                    <a:stretch>
                      <a:fillRect/>
                    </a:stretch>
                  </pic:blipFill>
                  <pic:spPr>
                    <a:xfrm>
                      <a:off x="0" y="0"/>
                      <a:ext cx="3600000" cy="1887097"/>
                    </a:xfrm>
                    <a:prstGeom prst="rect"/>
                  </pic:spPr>
                </pic:pic>
              </a:graphicData>
            </a:graphic>
          </wp:inline>
        </w:drawing>
      </w:r>
    </w:p>
    <w:p>
      <w:pPr>
        <w:spacing w:after="40"/>
        <w:ind w:firstLine="0"/>
        <w:jc w:val="center"/>
      </w:pPr>
      <w:r>
        <w:rPr>
          <w:rFonts w:ascii="Times New Roman" w:hAnsi="Times New Roman" w:eastAsia="Times New Roman"/>
          <w:b w:val="0"/>
          <w:i w:val="0"/>
          <w:sz w:val="18"/>
        </w:rPr>
        <w:t>Рисунок 2 – Курс судна при исходной и автоматически подобранной настройке, δв = 10°</w:t>
      </w:r>
    </w:p>
    <w:p>
      <w:pPr>
        <w:ind w:firstLine="0"/>
        <w:jc w:val="center"/>
      </w:pPr>
      <w:r>
        <w:drawing>
          <wp:inline xmlns:a="http://schemas.openxmlformats.org/drawingml/2006/main" xmlns:pic="http://schemas.openxmlformats.org/drawingml/2006/picture">
            <wp:extent cx="3600000" cy="1887097"/>
            <wp:docPr id="3" name="Picture 3"/>
            <wp:cNvGraphicFramePr>
              <a:graphicFrameLocks noChangeAspect="1"/>
            </wp:cNvGraphicFramePr>
            <a:graphic>
              <a:graphicData uri="http://schemas.openxmlformats.org/drawingml/2006/picture">
                <pic:pic>
                  <pic:nvPicPr>
                    <pic:cNvPr id="0" name="error_autotune.png"/>
                    <pic:cNvPicPr/>
                  </pic:nvPicPr>
                  <pic:blipFill>
                    <a:blip r:embed="rId12"/>
                    <a:stretch>
                      <a:fillRect/>
                    </a:stretch>
                  </pic:blipFill>
                  <pic:spPr>
                    <a:xfrm>
                      <a:off x="0" y="0"/>
                      <a:ext cx="3600000" cy="1887097"/>
                    </a:xfrm>
                    <a:prstGeom prst="rect"/>
                  </pic:spPr>
                </pic:pic>
              </a:graphicData>
            </a:graphic>
          </wp:inline>
        </w:drawing>
      </w:r>
    </w:p>
    <w:p>
      <w:pPr>
        <w:spacing w:after="40"/>
        <w:ind w:firstLine="0"/>
        <w:jc w:val="center"/>
      </w:pPr>
      <w:r>
        <w:rPr>
          <w:rFonts w:ascii="Times New Roman" w:hAnsi="Times New Roman" w:eastAsia="Times New Roman"/>
          <w:b w:val="0"/>
          <w:i w:val="0"/>
          <w:sz w:val="18"/>
        </w:rPr>
        <w:t>Рисунок 3 – Ошибка курса при δв = 10°</w:t>
      </w:r>
    </w:p>
    <w:p>
      <w:pPr>
        <w:keepNext/>
        <w:ind w:firstLine="0"/>
      </w:pPr>
      <w:r>
        <w:rPr>
          <w:rFonts w:ascii="Times New Roman" w:hAnsi="Times New Roman" w:eastAsia="Times New Roman"/>
          <w:b w:val="0"/>
          <w:i w:val="0"/>
          <w:sz w:val="18"/>
        </w:rPr>
        <w:t>Таблица 1 – Сравнение настроек на номинальной модели при δв = 10°</w:t>
      </w:r>
    </w:p>
    <w:tbl>
      <w:tblPr>
        <w:tblStyle w:val="TableGrid"/>
        <w:tblW w:type="auto" w:w="0"/>
        <w:jc w:val="center"/>
        <w:tblLook w:firstColumn="1" w:firstRow="1" w:lastColumn="0" w:lastRow="0" w:noHBand="0" w:noVBand="1" w:val="04A0"/>
      </w:tblPr>
      <w:tblGrid>
        <w:gridCol w:w="948"/>
        <w:gridCol w:w="948"/>
        <w:gridCol w:w="948"/>
        <w:gridCol w:w="948"/>
        <w:gridCol w:w="948"/>
        <w:gridCol w:w="948"/>
        <w:gridCol w:w="948"/>
      </w:tblGrid>
      <w:tr>
        <w:trPr>
          <w:cantSplit/>
        </w:trPr>
        <w:tc>
          <w:tcPr>
            <w:tcW w:type="dxa" w:w="948"/>
            <w:vAlign w:val="center"/>
          </w:tcPr>
          <w:p>
            <w:pPr>
              <w:spacing w:line="240" w:lineRule="auto" w:after="0"/>
              <w:ind w:firstLine="0"/>
              <w:jc w:val="center"/>
            </w:pPr>
            <w:r>
              <w:rPr>
                <w:rFonts w:ascii="Times New Roman" w:hAnsi="Times New Roman" w:eastAsia="Times New Roman"/>
                <w:b/>
                <w:i w:val="0"/>
                <w:sz w:val="17"/>
              </w:rPr>
              <w:t>Настройка</w:t>
            </w:r>
          </w:p>
        </w:tc>
        <w:tc>
          <w:tcPr>
            <w:tcW w:type="dxa" w:w="948"/>
            <w:vAlign w:val="center"/>
          </w:tcPr>
          <w:p>
            <w:pPr>
              <w:spacing w:line="240" w:lineRule="auto" w:after="0"/>
              <w:ind w:firstLine="0"/>
              <w:jc w:val="center"/>
            </w:pPr>
            <w:r>
              <w:rPr>
                <w:rFonts w:ascii="Times New Roman" w:hAnsi="Times New Roman" w:eastAsia="Times New Roman"/>
                <w:b/>
                <w:i w:val="0"/>
                <w:sz w:val="17"/>
              </w:rPr>
              <w:t>IAE, °·с</w:t>
            </w:r>
          </w:p>
        </w:tc>
        <w:tc>
          <w:tcPr>
            <w:tcW w:type="dxa" w:w="948"/>
            <w:vAlign w:val="center"/>
          </w:tcPr>
          <w:p>
            <w:pPr>
              <w:spacing w:line="240" w:lineRule="auto" w:after="0"/>
              <w:ind w:firstLine="0"/>
              <w:jc w:val="center"/>
            </w:pPr>
            <w:r>
              <w:rPr>
                <w:rFonts w:ascii="Times New Roman" w:hAnsi="Times New Roman" w:eastAsia="Times New Roman"/>
                <w:b/>
                <w:i w:val="0"/>
                <w:sz w:val="17"/>
              </w:rPr>
              <w:t>tуст, с</w:t>
            </w:r>
          </w:p>
        </w:tc>
        <w:tc>
          <w:tcPr>
            <w:tcW w:type="dxa" w:w="948"/>
            <w:vAlign w:val="center"/>
          </w:tcPr>
          <w:p>
            <w:pPr>
              <w:spacing w:line="240" w:lineRule="auto" w:after="0"/>
              <w:ind w:firstLine="0"/>
              <w:jc w:val="center"/>
            </w:pPr>
            <w:r>
              <w:rPr>
                <w:rFonts w:ascii="Times New Roman" w:hAnsi="Times New Roman" w:eastAsia="Times New Roman"/>
                <w:b/>
                <w:i w:val="0"/>
                <w:sz w:val="17"/>
              </w:rPr>
              <w:t>Δψmax, °</w:t>
            </w:r>
          </w:p>
        </w:tc>
        <w:tc>
          <w:tcPr>
            <w:tcW w:type="dxa" w:w="948"/>
            <w:vAlign w:val="center"/>
          </w:tcPr>
          <w:p>
            <w:pPr>
              <w:spacing w:line="240" w:lineRule="auto" w:after="0"/>
              <w:ind w:firstLine="0"/>
              <w:jc w:val="center"/>
            </w:pPr>
            <w:r>
              <w:rPr>
                <w:rFonts w:ascii="Times New Roman" w:hAnsi="Times New Roman" w:eastAsia="Times New Roman"/>
                <w:b/>
                <w:i w:val="0"/>
                <w:sz w:val="17"/>
              </w:rPr>
              <w:t>tвосст, с</w:t>
            </w:r>
          </w:p>
        </w:tc>
        <w:tc>
          <w:tcPr>
            <w:tcW w:type="dxa" w:w="948"/>
            <w:vAlign w:val="center"/>
          </w:tcPr>
          <w:p>
            <w:pPr>
              <w:spacing w:line="240" w:lineRule="auto" w:after="0"/>
              <w:ind w:firstLine="0"/>
              <w:jc w:val="center"/>
            </w:pPr>
            <w:r>
              <w:rPr>
                <w:rFonts w:ascii="Times New Roman" w:hAnsi="Times New Roman" w:eastAsia="Times New Roman"/>
                <w:b/>
                <w:i w:val="0"/>
                <w:sz w:val="17"/>
              </w:rPr>
              <w:t>eуст, °</w:t>
            </w:r>
          </w:p>
        </w:tc>
        <w:tc>
          <w:tcPr>
            <w:tcW w:type="dxa" w:w="948"/>
            <w:vAlign w:val="center"/>
          </w:tcPr>
          <w:p>
            <w:pPr>
              <w:spacing w:line="240" w:lineRule="auto" w:after="0"/>
              <w:ind w:firstLine="0"/>
              <w:jc w:val="center"/>
            </w:pPr>
            <w:r>
              <w:rPr>
                <w:rFonts w:ascii="Times New Roman" w:hAnsi="Times New Roman" w:eastAsia="Times New Roman"/>
                <w:b/>
                <w:i w:val="0"/>
                <w:sz w:val="17"/>
              </w:rPr>
              <w:t>|δ|max, °</w:t>
            </w:r>
          </w:p>
        </w:tc>
      </w:tr>
      <w:tr>
        <w:trPr>
          <w:cantSplit/>
        </w:trPr>
        <w:tc>
          <w:tcPr>
            <w:tcW w:type="dxa" w:w="948"/>
            <w:vAlign w:val="center"/>
          </w:tcPr>
          <w:p>
            <w:pPr>
              <w:spacing w:line="240" w:lineRule="auto" w:after="0"/>
              <w:ind w:firstLine="0"/>
              <w:jc w:val="center"/>
            </w:pPr>
            <w:r>
              <w:rPr>
                <w:rFonts w:ascii="Times New Roman" w:hAnsi="Times New Roman" w:eastAsia="Times New Roman"/>
                <w:b w:val="0"/>
                <w:i w:val="0"/>
                <w:sz w:val="17"/>
              </w:rPr>
              <w:t>Ручная</w:t>
            </w:r>
          </w:p>
        </w:tc>
        <w:tc>
          <w:tcPr>
            <w:tcW w:type="dxa" w:w="948"/>
            <w:vAlign w:val="center"/>
          </w:tcPr>
          <w:p>
            <w:pPr>
              <w:spacing w:line="240" w:lineRule="auto" w:after="0"/>
              <w:ind w:firstLine="0"/>
              <w:jc w:val="center"/>
            </w:pPr>
            <w:r>
              <w:rPr>
                <w:rFonts w:ascii="Times New Roman" w:hAnsi="Times New Roman" w:eastAsia="Times New Roman"/>
                <w:b w:val="0"/>
                <w:i w:val="0"/>
                <w:sz w:val="17"/>
              </w:rPr>
              <w:t>260.1</w:t>
            </w:r>
          </w:p>
        </w:tc>
        <w:tc>
          <w:tcPr>
            <w:tcW w:type="dxa" w:w="948"/>
            <w:vAlign w:val="center"/>
          </w:tcPr>
          <w:p>
            <w:pPr>
              <w:spacing w:line="240" w:lineRule="auto" w:after="0"/>
              <w:ind w:firstLine="0"/>
              <w:jc w:val="center"/>
            </w:pPr>
            <w:r>
              <w:rPr>
                <w:rFonts w:ascii="Times New Roman" w:hAnsi="Times New Roman" w:eastAsia="Times New Roman"/>
                <w:b w:val="0"/>
                <w:i w:val="0"/>
                <w:sz w:val="17"/>
              </w:rPr>
              <w:t>57.5</w:t>
            </w:r>
          </w:p>
        </w:tc>
        <w:tc>
          <w:tcPr>
            <w:tcW w:type="dxa" w:w="948"/>
            <w:vAlign w:val="center"/>
          </w:tcPr>
          <w:p>
            <w:pPr>
              <w:spacing w:line="240" w:lineRule="auto" w:after="0"/>
              <w:ind w:firstLine="0"/>
              <w:jc w:val="center"/>
            </w:pPr>
            <w:r>
              <w:rPr>
                <w:rFonts w:ascii="Times New Roman" w:hAnsi="Times New Roman" w:eastAsia="Times New Roman"/>
                <w:b w:val="0"/>
                <w:i w:val="0"/>
                <w:sz w:val="17"/>
              </w:rPr>
              <w:t>1.081</w:t>
            </w:r>
          </w:p>
        </w:tc>
        <w:tc>
          <w:tcPr>
            <w:tcW w:type="dxa" w:w="948"/>
            <w:vAlign w:val="center"/>
          </w:tcPr>
          <w:p>
            <w:pPr>
              <w:spacing w:line="240" w:lineRule="auto" w:after="0"/>
              <w:ind w:firstLine="0"/>
              <w:jc w:val="center"/>
            </w:pPr>
            <w:r>
              <w:rPr>
                <w:rFonts w:ascii="Times New Roman" w:hAnsi="Times New Roman" w:eastAsia="Times New Roman"/>
                <w:b w:val="0"/>
                <w:i w:val="0"/>
                <w:sz w:val="17"/>
              </w:rPr>
              <w:t>114.6</w:t>
            </w:r>
          </w:p>
        </w:tc>
        <w:tc>
          <w:tcPr>
            <w:tcW w:type="dxa" w:w="948"/>
            <w:vAlign w:val="center"/>
          </w:tcPr>
          <w:p>
            <w:pPr>
              <w:spacing w:line="240" w:lineRule="auto" w:after="0"/>
              <w:ind w:firstLine="0"/>
              <w:jc w:val="center"/>
            </w:pPr>
            <w:r>
              <w:rPr>
                <w:rFonts w:ascii="Times New Roman" w:hAnsi="Times New Roman" w:eastAsia="Times New Roman"/>
                <w:b w:val="0"/>
                <w:i w:val="0"/>
                <w:sz w:val="17"/>
              </w:rPr>
              <w:t>0.038</w:t>
            </w:r>
          </w:p>
        </w:tc>
        <w:tc>
          <w:tcPr>
            <w:tcW w:type="dxa" w:w="948"/>
            <w:vAlign w:val="center"/>
          </w:tcPr>
          <w:p>
            <w:pPr>
              <w:spacing w:line="240" w:lineRule="auto" w:after="0"/>
              <w:ind w:firstLine="0"/>
              <w:jc w:val="center"/>
            </w:pPr>
            <w:r>
              <w:rPr>
                <w:rFonts w:ascii="Times New Roman" w:hAnsi="Times New Roman" w:eastAsia="Times New Roman"/>
                <w:b w:val="0"/>
                <w:i w:val="0"/>
                <w:sz w:val="17"/>
              </w:rPr>
              <w:t>27.9</w:t>
            </w:r>
          </w:p>
        </w:tc>
      </w:tr>
      <w:tr>
        <w:trPr>
          <w:cantSplit/>
        </w:trPr>
        <w:tc>
          <w:tcPr>
            <w:tcW w:type="dxa" w:w="948"/>
            <w:vAlign w:val="center"/>
          </w:tcPr>
          <w:p>
            <w:pPr>
              <w:spacing w:line="240" w:lineRule="auto" w:after="0"/>
              <w:ind w:firstLine="0"/>
              <w:jc w:val="center"/>
            </w:pPr>
            <w:r>
              <w:rPr>
                <w:rFonts w:ascii="Times New Roman" w:hAnsi="Times New Roman" w:eastAsia="Times New Roman"/>
                <w:b w:val="0"/>
                <w:i w:val="0"/>
                <w:sz w:val="17"/>
              </w:rPr>
              <w:t>Авто</w:t>
            </w:r>
          </w:p>
        </w:tc>
        <w:tc>
          <w:tcPr>
            <w:tcW w:type="dxa" w:w="948"/>
            <w:vAlign w:val="center"/>
          </w:tcPr>
          <w:p>
            <w:pPr>
              <w:spacing w:line="240" w:lineRule="auto" w:after="0"/>
              <w:ind w:firstLine="0"/>
              <w:jc w:val="center"/>
            </w:pPr>
            <w:r>
              <w:rPr>
                <w:rFonts w:ascii="Times New Roman" w:hAnsi="Times New Roman" w:eastAsia="Times New Roman"/>
                <w:b w:val="0"/>
                <w:i w:val="0"/>
                <w:sz w:val="17"/>
              </w:rPr>
              <w:t>176.4</w:t>
            </w:r>
          </w:p>
        </w:tc>
        <w:tc>
          <w:tcPr>
            <w:tcW w:type="dxa" w:w="948"/>
            <w:vAlign w:val="center"/>
          </w:tcPr>
          <w:p>
            <w:pPr>
              <w:spacing w:line="240" w:lineRule="auto" w:after="0"/>
              <w:ind w:firstLine="0"/>
              <w:jc w:val="center"/>
            </w:pPr>
            <w:r>
              <w:rPr>
                <w:rFonts w:ascii="Times New Roman" w:hAnsi="Times New Roman" w:eastAsia="Times New Roman"/>
                <w:b w:val="0"/>
                <w:i w:val="0"/>
                <w:sz w:val="17"/>
              </w:rPr>
              <w:t>24.9</w:t>
            </w:r>
          </w:p>
        </w:tc>
        <w:tc>
          <w:tcPr>
            <w:tcW w:type="dxa" w:w="948"/>
            <w:vAlign w:val="center"/>
          </w:tcPr>
          <w:p>
            <w:pPr>
              <w:spacing w:line="240" w:lineRule="auto" w:after="0"/>
              <w:ind w:firstLine="0"/>
              <w:jc w:val="center"/>
            </w:pPr>
            <w:r>
              <w:rPr>
                <w:rFonts w:ascii="Times New Roman" w:hAnsi="Times New Roman" w:eastAsia="Times New Roman"/>
                <w:b w:val="0"/>
                <w:i w:val="0"/>
                <w:sz w:val="17"/>
              </w:rPr>
              <w:t>0.619</w:t>
            </w:r>
          </w:p>
        </w:tc>
        <w:tc>
          <w:tcPr>
            <w:tcW w:type="dxa" w:w="948"/>
            <w:vAlign w:val="center"/>
          </w:tcPr>
          <w:p>
            <w:pPr>
              <w:spacing w:line="240" w:lineRule="auto" w:after="0"/>
              <w:ind w:firstLine="0"/>
              <w:jc w:val="center"/>
            </w:pPr>
            <w:r>
              <w:rPr>
                <w:rFonts w:ascii="Times New Roman" w:hAnsi="Times New Roman" w:eastAsia="Times New Roman"/>
                <w:b w:val="0"/>
                <w:i w:val="0"/>
                <w:sz w:val="17"/>
              </w:rPr>
              <w:t>57.4</w:t>
            </w:r>
          </w:p>
        </w:tc>
        <w:tc>
          <w:tcPr>
            <w:tcW w:type="dxa" w:w="948"/>
            <w:vAlign w:val="center"/>
          </w:tcPr>
          <w:p>
            <w:pPr>
              <w:spacing w:line="240" w:lineRule="auto" w:after="0"/>
              <w:ind w:firstLine="0"/>
              <w:jc w:val="center"/>
            </w:pPr>
            <w:r>
              <w:rPr>
                <w:rFonts w:ascii="Times New Roman" w:hAnsi="Times New Roman" w:eastAsia="Times New Roman"/>
                <w:b w:val="0"/>
                <w:i w:val="0"/>
                <w:sz w:val="17"/>
              </w:rPr>
              <w:t>0.003</w:t>
            </w:r>
          </w:p>
        </w:tc>
        <w:tc>
          <w:tcPr>
            <w:tcW w:type="dxa" w:w="948"/>
            <w:vAlign w:val="center"/>
          </w:tcPr>
          <w:p>
            <w:pPr>
              <w:spacing w:line="240" w:lineRule="auto" w:after="0"/>
              <w:ind w:firstLine="0"/>
              <w:jc w:val="center"/>
            </w:pPr>
            <w:r>
              <w:rPr>
                <w:rFonts w:ascii="Times New Roman" w:hAnsi="Times New Roman" w:eastAsia="Times New Roman"/>
                <w:b w:val="0"/>
                <w:i w:val="0"/>
                <w:sz w:val="17"/>
              </w:rPr>
              <w:t>31.5</w:t>
            </w:r>
          </w:p>
        </w:tc>
      </w:tr>
    </w:tbl>
    <w:p>
      <w:pPr>
        <w:spacing w:line="240" w:lineRule="auto" w:before="0" w:after="0"/>
        <w:ind w:firstLine="283"/>
        <w:jc w:val="both"/>
      </w:pPr>
      <w:r>
        <w:rPr>
          <w:rFonts w:ascii="Times New Roman" w:hAnsi="Times New Roman" w:eastAsia="Times New Roman"/>
          <w:b w:val="0"/>
          <w:i w:val="0"/>
          <w:sz w:val="20"/>
        </w:rPr>
        <w:t>При возмущении 10° интегральная абсолютная ошибка уменьшилась с 260.1 до 176.4 °·с (32.2 %), максимальное отклонение курса - с 1.081° до 0.619° (42.8 %), а время восстановления - с 114.6 до 57.4 с (49.9 %). Установившаяся ошибка уменьшилась примерно с 0.038° до 0.003°. Одновременно максимальный угол руля вырос с 27.9° до 31.5°, то есть повышение качества достигнуто за счет более активной работы исполнительного органа.</w:t>
      </w:r>
    </w:p>
    <w:p>
      <w:pPr>
        <w:ind w:firstLine="0"/>
        <w:jc w:val="center"/>
      </w:pPr>
      <w:r>
        <w:drawing>
          <wp:inline xmlns:a="http://schemas.openxmlformats.org/drawingml/2006/main" xmlns:pic="http://schemas.openxmlformats.org/drawingml/2006/picture">
            <wp:extent cx="3600000" cy="1887097"/>
            <wp:docPr id="4" name="Picture 4"/>
            <wp:cNvGraphicFramePr>
              <a:graphicFrameLocks noChangeAspect="1"/>
            </wp:cNvGraphicFramePr>
            <a:graphic>
              <a:graphicData uri="http://schemas.openxmlformats.org/drawingml/2006/picture">
                <pic:pic>
                  <pic:nvPicPr>
                    <pic:cNvPr id="0" name="rudder_autotune.png"/>
                    <pic:cNvPicPr/>
                  </pic:nvPicPr>
                  <pic:blipFill>
                    <a:blip r:embed="rId13"/>
                    <a:stretch>
                      <a:fillRect/>
                    </a:stretch>
                  </pic:blipFill>
                  <pic:spPr>
                    <a:xfrm>
                      <a:off x="0" y="0"/>
                      <a:ext cx="3600000" cy="1887097"/>
                    </a:xfrm>
                    <a:prstGeom prst="rect"/>
                  </pic:spPr>
                </pic:pic>
              </a:graphicData>
            </a:graphic>
          </wp:inline>
        </w:drawing>
      </w:r>
    </w:p>
    <w:p>
      <w:pPr>
        <w:spacing w:after="40"/>
        <w:ind w:firstLine="0"/>
        <w:jc w:val="center"/>
      </w:pPr>
      <w:r>
        <w:rPr>
          <w:rFonts w:ascii="Times New Roman" w:hAnsi="Times New Roman" w:eastAsia="Times New Roman"/>
          <w:b w:val="0"/>
          <w:i w:val="0"/>
          <w:sz w:val="18"/>
        </w:rPr>
        <w:t>Рисунок 4 – Управляющее воздействие рулевого устройства при δв = 10°</w:t>
      </w:r>
    </w:p>
    <w:p>
      <w:pPr>
        <w:keepNext/>
        <w:ind w:firstLine="0"/>
      </w:pPr>
      <w:r>
        <w:rPr>
          <w:rFonts w:ascii="Times New Roman" w:hAnsi="Times New Roman" w:eastAsia="Times New Roman"/>
          <w:b w:val="0"/>
          <w:i w:val="0"/>
          <w:sz w:val="18"/>
        </w:rPr>
        <w:t>Таблица 2 – Работа исходной и оптимизированной настройки при разных возмущениях</w:t>
      </w:r>
    </w:p>
    <w:tbl>
      <w:tblPr>
        <w:tblStyle w:val="TableGrid"/>
        <w:tblW w:type="auto" w:w="0"/>
        <w:jc w:val="center"/>
        <w:tblLook w:firstColumn="1" w:firstRow="1" w:lastColumn="0" w:lastRow="0" w:noHBand="0" w:noVBand="1" w:val="04A0"/>
      </w:tblPr>
      <w:tblGrid>
        <w:gridCol w:w="1327"/>
        <w:gridCol w:w="1327"/>
        <w:gridCol w:w="1327"/>
        <w:gridCol w:w="1327"/>
        <w:gridCol w:w="1327"/>
      </w:tblGrid>
      <w:tr>
        <w:trPr>
          <w:cantSplit/>
        </w:trPr>
        <w:tc>
          <w:tcPr>
            <w:tcW w:type="dxa" w:w="1327"/>
            <w:vAlign w:val="center"/>
          </w:tcPr>
          <w:p>
            <w:pPr>
              <w:spacing w:line="240" w:lineRule="auto" w:after="0"/>
              <w:ind w:firstLine="0"/>
              <w:jc w:val="center"/>
            </w:pPr>
            <w:r>
              <w:rPr>
                <w:rFonts w:ascii="Times New Roman" w:hAnsi="Times New Roman" w:eastAsia="Times New Roman"/>
                <w:b/>
                <w:i w:val="0"/>
                <w:sz w:val="17"/>
              </w:rPr>
              <w:t>δв, °</w:t>
            </w:r>
          </w:p>
        </w:tc>
        <w:tc>
          <w:tcPr>
            <w:tcW w:type="dxa" w:w="1327"/>
            <w:vAlign w:val="center"/>
          </w:tcPr>
          <w:p>
            <w:pPr>
              <w:spacing w:line="240" w:lineRule="auto" w:after="0"/>
              <w:ind w:firstLine="0"/>
              <w:jc w:val="center"/>
            </w:pPr>
            <w:r>
              <w:rPr>
                <w:rFonts w:ascii="Times New Roman" w:hAnsi="Times New Roman" w:eastAsia="Times New Roman"/>
                <w:b/>
                <w:i w:val="0"/>
                <w:sz w:val="17"/>
              </w:rPr>
              <w:t>Настройка</w:t>
            </w:r>
          </w:p>
        </w:tc>
        <w:tc>
          <w:tcPr>
            <w:tcW w:type="dxa" w:w="1327"/>
            <w:vAlign w:val="center"/>
          </w:tcPr>
          <w:p>
            <w:pPr>
              <w:spacing w:line="240" w:lineRule="auto" w:after="0"/>
              <w:ind w:firstLine="0"/>
              <w:jc w:val="center"/>
            </w:pPr>
            <w:r>
              <w:rPr>
                <w:rFonts w:ascii="Times New Roman" w:hAnsi="Times New Roman" w:eastAsia="Times New Roman"/>
                <w:b/>
                <w:i w:val="0"/>
                <w:sz w:val="17"/>
              </w:rPr>
              <w:t>IAE, °·с</w:t>
            </w:r>
          </w:p>
        </w:tc>
        <w:tc>
          <w:tcPr>
            <w:tcW w:type="dxa" w:w="1327"/>
            <w:vAlign w:val="center"/>
          </w:tcPr>
          <w:p>
            <w:pPr>
              <w:spacing w:line="240" w:lineRule="auto" w:after="0"/>
              <w:ind w:firstLine="0"/>
              <w:jc w:val="center"/>
            </w:pPr>
            <w:r>
              <w:rPr>
                <w:rFonts w:ascii="Times New Roman" w:hAnsi="Times New Roman" w:eastAsia="Times New Roman"/>
                <w:b/>
                <w:i w:val="0"/>
                <w:sz w:val="17"/>
              </w:rPr>
              <w:t>Δψmax, °</w:t>
            </w:r>
          </w:p>
        </w:tc>
        <w:tc>
          <w:tcPr>
            <w:tcW w:type="dxa" w:w="1327"/>
            <w:vAlign w:val="center"/>
          </w:tcPr>
          <w:p>
            <w:pPr>
              <w:spacing w:line="240" w:lineRule="auto" w:after="0"/>
              <w:ind w:firstLine="0"/>
              <w:jc w:val="center"/>
            </w:pPr>
            <w:r>
              <w:rPr>
                <w:rFonts w:ascii="Times New Roman" w:hAnsi="Times New Roman" w:eastAsia="Times New Roman"/>
                <w:b/>
                <w:i w:val="0"/>
                <w:sz w:val="17"/>
              </w:rPr>
              <w:t>tвосст, с</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5</w:t>
            </w:r>
          </w:p>
        </w:tc>
        <w:tc>
          <w:tcPr>
            <w:tcW w:type="dxa" w:w="1327"/>
            <w:vAlign w:val="center"/>
          </w:tcPr>
          <w:p>
            <w:pPr>
              <w:spacing w:line="240" w:lineRule="auto" w:after="0"/>
              <w:ind w:firstLine="0"/>
              <w:jc w:val="center"/>
            </w:pPr>
            <w:r>
              <w:rPr>
                <w:rFonts w:ascii="Times New Roman" w:hAnsi="Times New Roman" w:eastAsia="Times New Roman"/>
                <w:b w:val="0"/>
                <w:i w:val="0"/>
                <w:sz w:val="17"/>
              </w:rPr>
              <w:t>Ручная</w:t>
            </w:r>
          </w:p>
        </w:tc>
        <w:tc>
          <w:tcPr>
            <w:tcW w:type="dxa" w:w="1327"/>
            <w:vAlign w:val="center"/>
          </w:tcPr>
          <w:p>
            <w:pPr>
              <w:spacing w:line="240" w:lineRule="auto" w:after="0"/>
              <w:ind w:firstLine="0"/>
              <w:jc w:val="center"/>
            </w:pPr>
            <w:r>
              <w:rPr>
                <w:rFonts w:ascii="Times New Roman" w:hAnsi="Times New Roman" w:eastAsia="Times New Roman"/>
                <w:b w:val="0"/>
                <w:i w:val="0"/>
                <w:sz w:val="17"/>
              </w:rPr>
              <w:t>199.1</w:t>
            </w:r>
          </w:p>
        </w:tc>
        <w:tc>
          <w:tcPr>
            <w:tcW w:type="dxa" w:w="1327"/>
            <w:vAlign w:val="center"/>
          </w:tcPr>
          <w:p>
            <w:pPr>
              <w:spacing w:line="240" w:lineRule="auto" w:after="0"/>
              <w:ind w:firstLine="0"/>
              <w:jc w:val="center"/>
            </w:pPr>
            <w:r>
              <w:rPr>
                <w:rFonts w:ascii="Times New Roman" w:hAnsi="Times New Roman" w:eastAsia="Times New Roman"/>
                <w:b w:val="0"/>
                <w:i w:val="0"/>
                <w:sz w:val="17"/>
              </w:rPr>
              <w:t>0.581</w:t>
            </w:r>
          </w:p>
        </w:tc>
        <w:tc>
          <w:tcPr>
            <w:tcW w:type="dxa" w:w="1327"/>
            <w:vAlign w:val="center"/>
          </w:tcPr>
          <w:p>
            <w:pPr>
              <w:spacing w:line="240" w:lineRule="auto" w:after="0"/>
              <w:ind w:firstLine="0"/>
              <w:jc w:val="center"/>
            </w:pPr>
            <w:r>
              <w:rPr>
                <w:rFonts w:ascii="Times New Roman" w:hAnsi="Times New Roman" w:eastAsia="Times New Roman"/>
                <w:b w:val="0"/>
                <w:i w:val="0"/>
                <w:sz w:val="17"/>
              </w:rPr>
              <w:t>54.1</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5</w:t>
            </w:r>
          </w:p>
        </w:tc>
        <w:tc>
          <w:tcPr>
            <w:tcW w:type="dxa" w:w="1327"/>
            <w:vAlign w:val="center"/>
          </w:tcPr>
          <w:p>
            <w:pPr>
              <w:spacing w:line="240" w:lineRule="auto" w:after="0"/>
              <w:ind w:firstLine="0"/>
              <w:jc w:val="center"/>
            </w:pPr>
            <w:r>
              <w:rPr>
                <w:rFonts w:ascii="Times New Roman" w:hAnsi="Times New Roman" w:eastAsia="Times New Roman"/>
                <w:b w:val="0"/>
                <w:i w:val="0"/>
                <w:sz w:val="17"/>
              </w:rPr>
              <w:t>Авто</w:t>
            </w:r>
          </w:p>
        </w:tc>
        <w:tc>
          <w:tcPr>
            <w:tcW w:type="dxa" w:w="1327"/>
            <w:vAlign w:val="center"/>
          </w:tcPr>
          <w:p>
            <w:pPr>
              <w:spacing w:line="240" w:lineRule="auto" w:after="0"/>
              <w:ind w:firstLine="0"/>
              <w:jc w:val="center"/>
            </w:pPr>
            <w:r>
              <w:rPr>
                <w:rFonts w:ascii="Times New Roman" w:hAnsi="Times New Roman" w:eastAsia="Times New Roman"/>
                <w:b w:val="0"/>
                <w:i w:val="0"/>
                <w:sz w:val="17"/>
              </w:rPr>
              <w:t>148.3</w:t>
            </w:r>
          </w:p>
        </w:tc>
        <w:tc>
          <w:tcPr>
            <w:tcW w:type="dxa" w:w="1327"/>
            <w:vAlign w:val="center"/>
          </w:tcPr>
          <w:p>
            <w:pPr>
              <w:spacing w:line="240" w:lineRule="auto" w:after="0"/>
              <w:ind w:firstLine="0"/>
              <w:jc w:val="center"/>
            </w:pPr>
            <w:r>
              <w:rPr>
                <w:rFonts w:ascii="Times New Roman" w:hAnsi="Times New Roman" w:eastAsia="Times New Roman"/>
                <w:b w:val="0"/>
                <w:i w:val="0"/>
                <w:sz w:val="17"/>
              </w:rPr>
              <w:t>0.328</w:t>
            </w:r>
          </w:p>
        </w:tc>
        <w:tc>
          <w:tcPr>
            <w:tcW w:type="dxa" w:w="1327"/>
            <w:vAlign w:val="center"/>
          </w:tcPr>
          <w:p>
            <w:pPr>
              <w:spacing w:line="240" w:lineRule="auto" w:after="0"/>
              <w:ind w:firstLine="0"/>
              <w:jc w:val="center"/>
            </w:pPr>
            <w:r>
              <w:rPr>
                <w:rFonts w:ascii="Times New Roman" w:hAnsi="Times New Roman" w:eastAsia="Times New Roman"/>
                <w:b w:val="0"/>
                <w:i w:val="0"/>
                <w:sz w:val="17"/>
              </w:rPr>
              <w:t>0*</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10</w:t>
            </w:r>
          </w:p>
        </w:tc>
        <w:tc>
          <w:tcPr>
            <w:tcW w:type="dxa" w:w="1327"/>
            <w:vAlign w:val="center"/>
          </w:tcPr>
          <w:p>
            <w:pPr>
              <w:spacing w:line="240" w:lineRule="auto" w:after="0"/>
              <w:ind w:firstLine="0"/>
              <w:jc w:val="center"/>
            </w:pPr>
            <w:r>
              <w:rPr>
                <w:rFonts w:ascii="Times New Roman" w:hAnsi="Times New Roman" w:eastAsia="Times New Roman"/>
                <w:b w:val="0"/>
                <w:i w:val="0"/>
                <w:sz w:val="17"/>
              </w:rPr>
              <w:t>Ручная</w:t>
            </w:r>
          </w:p>
        </w:tc>
        <w:tc>
          <w:tcPr>
            <w:tcW w:type="dxa" w:w="1327"/>
            <w:vAlign w:val="center"/>
          </w:tcPr>
          <w:p>
            <w:pPr>
              <w:spacing w:line="240" w:lineRule="auto" w:after="0"/>
              <w:ind w:firstLine="0"/>
              <w:jc w:val="center"/>
            </w:pPr>
            <w:r>
              <w:rPr>
                <w:rFonts w:ascii="Times New Roman" w:hAnsi="Times New Roman" w:eastAsia="Times New Roman"/>
                <w:b w:val="0"/>
                <w:i w:val="0"/>
                <w:sz w:val="17"/>
              </w:rPr>
              <w:t>260.1</w:t>
            </w:r>
          </w:p>
        </w:tc>
        <w:tc>
          <w:tcPr>
            <w:tcW w:type="dxa" w:w="1327"/>
            <w:vAlign w:val="center"/>
          </w:tcPr>
          <w:p>
            <w:pPr>
              <w:spacing w:line="240" w:lineRule="auto" w:after="0"/>
              <w:ind w:firstLine="0"/>
              <w:jc w:val="center"/>
            </w:pPr>
            <w:r>
              <w:rPr>
                <w:rFonts w:ascii="Times New Roman" w:hAnsi="Times New Roman" w:eastAsia="Times New Roman"/>
                <w:b w:val="0"/>
                <w:i w:val="0"/>
                <w:sz w:val="17"/>
              </w:rPr>
              <w:t>1.081</w:t>
            </w:r>
          </w:p>
        </w:tc>
        <w:tc>
          <w:tcPr>
            <w:tcW w:type="dxa" w:w="1327"/>
            <w:vAlign w:val="center"/>
          </w:tcPr>
          <w:p>
            <w:pPr>
              <w:spacing w:line="240" w:lineRule="auto" w:after="0"/>
              <w:ind w:firstLine="0"/>
              <w:jc w:val="center"/>
            </w:pPr>
            <w:r>
              <w:rPr>
                <w:rFonts w:ascii="Times New Roman" w:hAnsi="Times New Roman" w:eastAsia="Times New Roman"/>
                <w:b w:val="0"/>
                <w:i w:val="0"/>
                <w:sz w:val="17"/>
              </w:rPr>
              <w:t>114.6</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10</w:t>
            </w:r>
          </w:p>
        </w:tc>
        <w:tc>
          <w:tcPr>
            <w:tcW w:type="dxa" w:w="1327"/>
            <w:vAlign w:val="center"/>
          </w:tcPr>
          <w:p>
            <w:pPr>
              <w:spacing w:line="240" w:lineRule="auto" w:after="0"/>
              <w:ind w:firstLine="0"/>
              <w:jc w:val="center"/>
            </w:pPr>
            <w:r>
              <w:rPr>
                <w:rFonts w:ascii="Times New Roman" w:hAnsi="Times New Roman" w:eastAsia="Times New Roman"/>
                <w:b w:val="0"/>
                <w:i w:val="0"/>
                <w:sz w:val="17"/>
              </w:rPr>
              <w:t>Авто</w:t>
            </w:r>
          </w:p>
        </w:tc>
        <w:tc>
          <w:tcPr>
            <w:tcW w:type="dxa" w:w="1327"/>
            <w:vAlign w:val="center"/>
          </w:tcPr>
          <w:p>
            <w:pPr>
              <w:spacing w:line="240" w:lineRule="auto" w:after="0"/>
              <w:ind w:firstLine="0"/>
              <w:jc w:val="center"/>
            </w:pPr>
            <w:r>
              <w:rPr>
                <w:rFonts w:ascii="Times New Roman" w:hAnsi="Times New Roman" w:eastAsia="Times New Roman"/>
                <w:b w:val="0"/>
                <w:i w:val="0"/>
                <w:sz w:val="17"/>
              </w:rPr>
              <w:t>176.4</w:t>
            </w:r>
          </w:p>
        </w:tc>
        <w:tc>
          <w:tcPr>
            <w:tcW w:type="dxa" w:w="1327"/>
            <w:vAlign w:val="center"/>
          </w:tcPr>
          <w:p>
            <w:pPr>
              <w:spacing w:line="240" w:lineRule="auto" w:after="0"/>
              <w:ind w:firstLine="0"/>
              <w:jc w:val="center"/>
            </w:pPr>
            <w:r>
              <w:rPr>
                <w:rFonts w:ascii="Times New Roman" w:hAnsi="Times New Roman" w:eastAsia="Times New Roman"/>
                <w:b w:val="0"/>
                <w:i w:val="0"/>
                <w:sz w:val="17"/>
              </w:rPr>
              <w:t>0.619</w:t>
            </w:r>
          </w:p>
        </w:tc>
        <w:tc>
          <w:tcPr>
            <w:tcW w:type="dxa" w:w="1327"/>
            <w:vAlign w:val="center"/>
          </w:tcPr>
          <w:p>
            <w:pPr>
              <w:spacing w:line="240" w:lineRule="auto" w:after="0"/>
              <w:ind w:firstLine="0"/>
              <w:jc w:val="center"/>
            </w:pPr>
            <w:r>
              <w:rPr>
                <w:rFonts w:ascii="Times New Roman" w:hAnsi="Times New Roman" w:eastAsia="Times New Roman"/>
                <w:b w:val="0"/>
                <w:i w:val="0"/>
                <w:sz w:val="17"/>
              </w:rPr>
              <w:t>57.4</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15</w:t>
            </w:r>
          </w:p>
        </w:tc>
        <w:tc>
          <w:tcPr>
            <w:tcW w:type="dxa" w:w="1327"/>
            <w:vAlign w:val="center"/>
          </w:tcPr>
          <w:p>
            <w:pPr>
              <w:spacing w:line="240" w:lineRule="auto" w:after="0"/>
              <w:ind w:firstLine="0"/>
              <w:jc w:val="center"/>
            </w:pPr>
            <w:r>
              <w:rPr>
                <w:rFonts w:ascii="Times New Roman" w:hAnsi="Times New Roman" w:eastAsia="Times New Roman"/>
                <w:b w:val="0"/>
                <w:i w:val="0"/>
                <w:sz w:val="17"/>
              </w:rPr>
              <w:t>Ручная</w:t>
            </w:r>
          </w:p>
        </w:tc>
        <w:tc>
          <w:tcPr>
            <w:tcW w:type="dxa" w:w="1327"/>
            <w:vAlign w:val="center"/>
          </w:tcPr>
          <w:p>
            <w:pPr>
              <w:spacing w:line="240" w:lineRule="auto" w:after="0"/>
              <w:ind w:firstLine="0"/>
              <w:jc w:val="center"/>
            </w:pPr>
            <w:r>
              <w:rPr>
                <w:rFonts w:ascii="Times New Roman" w:hAnsi="Times New Roman" w:eastAsia="Times New Roman"/>
                <w:b w:val="0"/>
                <w:i w:val="0"/>
                <w:sz w:val="17"/>
              </w:rPr>
              <w:t>321.2</w:t>
            </w:r>
          </w:p>
        </w:tc>
        <w:tc>
          <w:tcPr>
            <w:tcW w:type="dxa" w:w="1327"/>
            <w:vAlign w:val="center"/>
          </w:tcPr>
          <w:p>
            <w:pPr>
              <w:spacing w:line="240" w:lineRule="auto" w:after="0"/>
              <w:ind w:firstLine="0"/>
              <w:jc w:val="center"/>
            </w:pPr>
            <w:r>
              <w:rPr>
                <w:rFonts w:ascii="Times New Roman" w:hAnsi="Times New Roman" w:eastAsia="Times New Roman"/>
                <w:b w:val="0"/>
                <w:i w:val="0"/>
                <w:sz w:val="17"/>
              </w:rPr>
              <w:t>1.582</w:t>
            </w:r>
          </w:p>
        </w:tc>
        <w:tc>
          <w:tcPr>
            <w:tcW w:type="dxa" w:w="1327"/>
            <w:vAlign w:val="center"/>
          </w:tcPr>
          <w:p>
            <w:pPr>
              <w:spacing w:line="240" w:lineRule="auto" w:after="0"/>
              <w:ind w:firstLine="0"/>
              <w:jc w:val="center"/>
            </w:pPr>
            <w:r>
              <w:rPr>
                <w:rFonts w:ascii="Times New Roman" w:hAnsi="Times New Roman" w:eastAsia="Times New Roman"/>
                <w:b w:val="0"/>
                <w:i w:val="0"/>
                <w:sz w:val="17"/>
              </w:rPr>
              <w:t>151.7</w:t>
            </w:r>
          </w:p>
        </w:tc>
      </w:tr>
      <w:tr>
        <w:trPr>
          <w:cantSplit/>
        </w:trPr>
        <w:tc>
          <w:tcPr>
            <w:tcW w:type="dxa" w:w="1327"/>
            <w:vAlign w:val="center"/>
          </w:tcPr>
          <w:p>
            <w:pPr>
              <w:spacing w:line="240" w:lineRule="auto" w:after="0"/>
              <w:ind w:firstLine="0"/>
              <w:jc w:val="center"/>
            </w:pPr>
            <w:r>
              <w:rPr>
                <w:rFonts w:ascii="Times New Roman" w:hAnsi="Times New Roman" w:eastAsia="Times New Roman"/>
                <w:b w:val="0"/>
                <w:i w:val="0"/>
                <w:sz w:val="17"/>
              </w:rPr>
              <w:t>15</w:t>
            </w:r>
          </w:p>
        </w:tc>
        <w:tc>
          <w:tcPr>
            <w:tcW w:type="dxa" w:w="1327"/>
            <w:vAlign w:val="center"/>
          </w:tcPr>
          <w:p>
            <w:pPr>
              <w:spacing w:line="240" w:lineRule="auto" w:after="0"/>
              <w:ind w:firstLine="0"/>
              <w:jc w:val="center"/>
            </w:pPr>
            <w:r>
              <w:rPr>
                <w:rFonts w:ascii="Times New Roman" w:hAnsi="Times New Roman" w:eastAsia="Times New Roman"/>
                <w:b w:val="0"/>
                <w:i w:val="0"/>
                <w:sz w:val="17"/>
              </w:rPr>
              <w:t>Авто</w:t>
            </w:r>
          </w:p>
        </w:tc>
        <w:tc>
          <w:tcPr>
            <w:tcW w:type="dxa" w:w="1327"/>
            <w:vAlign w:val="center"/>
          </w:tcPr>
          <w:p>
            <w:pPr>
              <w:spacing w:line="240" w:lineRule="auto" w:after="0"/>
              <w:ind w:firstLine="0"/>
              <w:jc w:val="center"/>
            </w:pPr>
            <w:r>
              <w:rPr>
                <w:rFonts w:ascii="Times New Roman" w:hAnsi="Times New Roman" w:eastAsia="Times New Roman"/>
                <w:b w:val="0"/>
                <w:i w:val="0"/>
                <w:sz w:val="17"/>
              </w:rPr>
              <w:t>204.5</w:t>
            </w:r>
          </w:p>
        </w:tc>
        <w:tc>
          <w:tcPr>
            <w:tcW w:type="dxa" w:w="1327"/>
            <w:vAlign w:val="center"/>
          </w:tcPr>
          <w:p>
            <w:pPr>
              <w:spacing w:line="240" w:lineRule="auto" w:after="0"/>
              <w:ind w:firstLine="0"/>
              <w:jc w:val="center"/>
            </w:pPr>
            <w:r>
              <w:rPr>
                <w:rFonts w:ascii="Times New Roman" w:hAnsi="Times New Roman" w:eastAsia="Times New Roman"/>
                <w:b w:val="0"/>
                <w:i w:val="0"/>
                <w:sz w:val="17"/>
              </w:rPr>
              <w:t>0.910</w:t>
            </w:r>
          </w:p>
        </w:tc>
        <w:tc>
          <w:tcPr>
            <w:tcW w:type="dxa" w:w="1327"/>
            <w:vAlign w:val="center"/>
          </w:tcPr>
          <w:p>
            <w:pPr>
              <w:spacing w:line="240" w:lineRule="auto" w:after="0"/>
              <w:ind w:firstLine="0"/>
              <w:jc w:val="center"/>
            </w:pPr>
            <w:r>
              <w:rPr>
                <w:rFonts w:ascii="Times New Roman" w:hAnsi="Times New Roman" w:eastAsia="Times New Roman"/>
                <w:b w:val="0"/>
                <w:i w:val="0"/>
                <w:sz w:val="17"/>
              </w:rPr>
              <w:t>84.2</w:t>
            </w:r>
          </w:p>
        </w:tc>
      </w:tr>
    </w:tbl>
    <w:p>
      <w:pPr>
        <w:spacing w:line="240" w:lineRule="auto" w:before="0" w:after="0"/>
        <w:ind w:firstLine="0"/>
        <w:jc w:val="both"/>
      </w:pPr>
      <w:r>
        <w:rPr>
          <w:rFonts w:ascii="Times New Roman" w:hAnsi="Times New Roman" w:eastAsia="Times New Roman"/>
          <w:b w:val="0"/>
          <w:i/>
          <w:sz w:val="20"/>
        </w:rPr>
        <w:t>* При δв = 5° автоматически настроенная система после включения возмущения не выходит за пределы полосы ±0,5°, поэтому время возврата принимается равным нулю.</w:t>
      </w:r>
    </w:p>
    <w:p>
      <w:pPr>
        <w:spacing w:line="240" w:lineRule="auto" w:before="0" w:after="0"/>
        <w:ind w:firstLine="283"/>
        <w:jc w:val="both"/>
      </w:pPr>
      <w:r>
        <w:rPr>
          <w:rFonts w:ascii="Times New Roman" w:hAnsi="Times New Roman" w:eastAsia="Times New Roman"/>
          <w:b w:val="0"/>
          <w:i w:val="0"/>
          <w:sz w:val="20"/>
        </w:rPr>
        <w:t>При увеличении возмущения преимущество автоматической настройки сохраняется. Для δв = 15° максимальное отклонение снижается с 1,582° до 0,910°, а время восстановления - со 151,7 до 84,2 с. Проверка при изменении параметров K и T на ±10 % также не выявила потери устойчивости: при δв = 10° время восстановления оптимизированной системы составило 57,0-57,9 с, максимальное отклонение - 0,612-0,628°, тогда как для исходной настройки соответствующие значения находились около 114 с и 1,06-1,10°.</w:t>
      </w:r>
    </w:p>
    <w:p>
      <w:pPr>
        <w:spacing w:before="80" w:after="40"/>
        <w:ind w:firstLine="0"/>
        <w:jc w:val="left"/>
      </w:pPr>
      <w:r>
        <w:rPr>
          <w:rFonts w:ascii="Times New Roman" w:hAnsi="Times New Roman" w:eastAsia="Times New Roman"/>
          <w:b/>
          <w:i w:val="0"/>
          <w:sz w:val="20"/>
        </w:rPr>
        <w:t>Обсуждение</w:t>
      </w:r>
    </w:p>
    <w:p>
      <w:pPr>
        <w:spacing w:line="240" w:lineRule="auto" w:before="0" w:after="0"/>
        <w:ind w:firstLine="283"/>
        <w:jc w:val="both"/>
      </w:pPr>
      <w:r>
        <w:rPr>
          <w:rFonts w:ascii="Times New Roman" w:hAnsi="Times New Roman" w:eastAsia="Times New Roman"/>
          <w:b w:val="0"/>
          <w:i w:val="0"/>
          <w:sz w:val="20"/>
        </w:rPr>
        <w:t>Полученные результаты показывают, что даже простой ограниченный поисковый алгоритм способен улучшить совокупность показателей по сравнению с выбранной исходной настройкой. Это не означает универсального превосходства найденных коэффициентов: результат зависит от весов функционала, диапазонов поиска, модели объекта и набора сценариев. Тем не менее многосценарная постановка принципиально отличается от подбора коэффициентов по одному переходному процессу и позволяет непосредственно учитывать компромисс между точностью курса, быстродействием и интенсивностью работы руля.</w:t>
      </w:r>
    </w:p>
    <w:p>
      <w:pPr>
        <w:spacing w:line="240" w:lineRule="auto" w:before="0" w:after="0"/>
        <w:ind w:firstLine="283"/>
        <w:jc w:val="both"/>
      </w:pPr>
      <w:r>
        <w:rPr>
          <w:rFonts w:ascii="Times New Roman" w:hAnsi="Times New Roman" w:eastAsia="Times New Roman"/>
          <w:b w:val="0"/>
          <w:i w:val="0"/>
          <w:sz w:val="20"/>
        </w:rPr>
        <w:t>Тенденция согласуется с современными работами по автоматической и адаптивной настройке судовых регуляторов [6, 7]. В более сложных подходах применяются планирование коэффициентов, нечеткая логика и метаэвристическая оптимизация. В настоящей работе сознательно использован прозрачный pattern search, чтобы каждый этап поиска можно было воспроизвести в студенческом вычислительном стенде без внешних библиотек.</w:t>
      </w:r>
    </w:p>
    <w:p>
      <w:pPr>
        <w:spacing w:line="240" w:lineRule="auto" w:before="0" w:after="0"/>
        <w:ind w:firstLine="283"/>
        <w:jc w:val="both"/>
      </w:pPr>
      <w:r>
        <w:rPr>
          <w:rFonts w:ascii="Times New Roman" w:hAnsi="Times New Roman" w:eastAsia="Times New Roman"/>
          <w:b w:val="0"/>
          <w:i w:val="0"/>
          <w:sz w:val="20"/>
        </w:rPr>
        <w:t>Основные ограничения связаны с моделью Номото первого порядка. Не учитываются поперечная скорость, крен, нелинейная гидродинамика, динамика реального рулевого устройства, спектральные характеристики волн и шум измерений. Изменение K и T на ±10 % является лишь простой проверкой чувствительности, а не доказательством робастной устойчивости. Поэтому найденные Kp, Ki и Kd не должны переноситься на реальное судно без идентификации объекта и натурной проверки.</w:t>
      </w:r>
    </w:p>
    <w:p>
      <w:pPr>
        <w:spacing w:before="80" w:after="40"/>
        <w:ind w:firstLine="0"/>
        <w:jc w:val="left"/>
      </w:pPr>
      <w:r>
        <w:rPr>
          <w:rFonts w:ascii="Times New Roman" w:hAnsi="Times New Roman" w:eastAsia="Times New Roman"/>
          <w:b/>
          <w:i w:val="0"/>
          <w:sz w:val="20"/>
        </w:rPr>
        <w:t>Заключение</w:t>
      </w:r>
    </w:p>
    <w:p>
      <w:pPr>
        <w:spacing w:line="240" w:lineRule="auto" w:before="0" w:after="0"/>
        <w:ind w:firstLine="283"/>
        <w:jc w:val="both"/>
      </w:pPr>
      <w:r>
        <w:rPr>
          <w:rFonts w:ascii="Times New Roman" w:hAnsi="Times New Roman" w:eastAsia="Times New Roman"/>
          <w:b w:val="0"/>
          <w:i w:val="0"/>
          <w:sz w:val="20"/>
        </w:rPr>
        <w:t>Разработан интерактивный вычислительный стенд управления курсом судна на основе модели Номото первого порядка с ограничениями угла и скорости перекладки руля. Реализован детерминированный алгоритм автоматического подбора коэффициентов ПИД-регулятора по многокритериальному функционалу на девяти расчетных сценариях.</w:t>
      </w:r>
    </w:p>
    <w:p>
      <w:pPr>
        <w:spacing w:line="240" w:lineRule="auto" w:before="0" w:after="0"/>
        <w:ind w:firstLine="283"/>
        <w:jc w:val="both"/>
      </w:pPr>
      <w:r>
        <w:rPr>
          <w:rFonts w:ascii="Times New Roman" w:hAnsi="Times New Roman" w:eastAsia="Times New Roman"/>
          <w:b w:val="0"/>
          <w:i w:val="0"/>
          <w:sz w:val="20"/>
        </w:rPr>
        <w:t>Для заданных диапазонов поиска получены Kp = 14, Ki = 0,1775 с⁻¹ и Kd = 206,25 с. Комплексный критерий уменьшен на 33,8 %. В номинальном опыте при постоянном возмущении 10° время восстановления уменьшилось почти вдвое, максимальное отклонение - примерно на 43 %, IAE - примерно на 32 %. При этом максимальный угол руля увеличился до 31,5°, что отражает компромисс между качеством регулирования и активностью исполнительного органа.</w:t>
      </w:r>
    </w:p>
    <w:p>
      <w:pPr>
        <w:spacing w:line="240" w:lineRule="auto" w:before="0" w:after="0"/>
        <w:ind w:firstLine="283"/>
        <w:jc w:val="both"/>
      </w:pPr>
      <w:r>
        <w:rPr>
          <w:rFonts w:ascii="Times New Roman" w:hAnsi="Times New Roman" w:eastAsia="Times New Roman"/>
          <w:b w:val="0"/>
          <w:i w:val="0"/>
          <w:sz w:val="20"/>
        </w:rPr>
        <w:t>Программная реализация обеспечивает повторный запуск оптимизации, изменение параметров модели и экспорт результатов, поэтому работа может быть продолжена сравнением различных целевых функций, стохастических возмущений, модели Номото второго порядка и адаптивных алгоритмов.</w:t>
      </w:r>
    </w:p>
    <w:p>
      <w:pPr>
        <w:spacing w:before="80" w:after="40"/>
        <w:ind w:firstLine="0"/>
        <w:jc w:val="left"/>
      </w:pPr>
      <w:r>
        <w:rPr>
          <w:rFonts w:ascii="Times New Roman" w:hAnsi="Times New Roman" w:eastAsia="Times New Roman"/>
          <w:b/>
          <w:i w:val="0"/>
          <w:sz w:val="20"/>
        </w:rPr>
        <w:t>Список литературы</w:t>
      </w:r>
    </w:p>
    <w:p>
      <w:pPr>
        <w:spacing w:line="240" w:lineRule="auto" w:before="0" w:after="0"/>
        <w:ind w:firstLine="0"/>
        <w:jc w:val="both"/>
      </w:pPr>
      <w:r>
        <w:rPr>
          <w:rFonts w:ascii="Times New Roman" w:hAnsi="Times New Roman" w:eastAsia="Times New Roman"/>
          <w:b w:val="0"/>
          <w:i w:val="0"/>
          <w:sz w:val="20"/>
        </w:rPr>
        <w:t>1. Nomoto K., Taguchi T., Honda K., Hirano S. On the steering qualities of ships // International Shipbuilding Progress. 1957. Vol. 4, No. 35. P. 354-370. DOI: 10.3233/ISP-1957-43504.</w:t>
      </w:r>
    </w:p>
    <w:p>
      <w:pPr>
        <w:spacing w:line="240" w:lineRule="auto" w:before="0" w:after="0"/>
        <w:ind w:firstLine="0"/>
        <w:jc w:val="both"/>
      </w:pPr>
      <w:r>
        <w:rPr>
          <w:rFonts w:ascii="Times New Roman" w:hAnsi="Times New Roman" w:eastAsia="Times New Roman"/>
          <w:b w:val="0"/>
          <w:i w:val="0"/>
          <w:sz w:val="20"/>
        </w:rPr>
        <w:t>2. Fossen T. I. Handbook of Marine Craft Hydrodynamics and Motion Control. 2nd ed. Hoboken: John Wiley &amp; Sons, 2021. 736 p. DOI: 10.1002/9781119575016.</w:t>
      </w:r>
    </w:p>
    <w:p>
      <w:pPr>
        <w:spacing w:line="240" w:lineRule="auto" w:before="0" w:after="0"/>
        <w:ind w:firstLine="0"/>
        <w:jc w:val="both"/>
      </w:pPr>
      <w:r>
        <w:rPr>
          <w:rFonts w:ascii="Times New Roman" w:hAnsi="Times New Roman" w:eastAsia="Times New Roman"/>
          <w:b w:val="0"/>
          <w:i w:val="0"/>
          <w:sz w:val="20"/>
        </w:rPr>
        <w:t>3. Świder Z., Trybus L., Stec A. Consistent Design of PID Controllers for an Autopilot // Polish Maritime Research. 2023. Vol. 30, No. 1. P. 78-85. DOI: 10.2478/pomr-2023-0008.</w:t>
      </w:r>
    </w:p>
    <w:p>
      <w:pPr>
        <w:spacing w:line="240" w:lineRule="auto" w:before="0" w:after="0"/>
        <w:ind w:firstLine="0"/>
        <w:jc w:val="both"/>
      </w:pPr>
      <w:r>
        <w:rPr>
          <w:rFonts w:ascii="Times New Roman" w:hAnsi="Times New Roman" w:eastAsia="Times New Roman"/>
          <w:b w:val="0"/>
          <w:i w:val="0"/>
          <w:sz w:val="20"/>
        </w:rPr>
        <w:t>4. Perera L. P., Guedes Soares C. Lyapunov and Hurwitz based controls for input-output linearisation applied to nonlinear vessel steering // Ocean Engineering. 2013. Vol. 66. P. 58-68. DOI: 10.1016/j.oceaneng.2013.04.002.</w:t>
      </w:r>
    </w:p>
    <w:p>
      <w:pPr>
        <w:spacing w:line="240" w:lineRule="auto" w:before="0" w:after="0"/>
        <w:ind w:firstLine="0"/>
        <w:jc w:val="both"/>
      </w:pPr>
      <w:r>
        <w:rPr>
          <w:rFonts w:ascii="Times New Roman" w:hAnsi="Times New Roman" w:eastAsia="Times New Roman"/>
          <w:b w:val="0"/>
          <w:i w:val="0"/>
          <w:sz w:val="20"/>
        </w:rPr>
        <w:t>5. Atasayan E., Milanov E., Alkan A. D. The use of transfer functions for the improvement of the first-order linear Nomoto model solution // Ocean Engineering. 2026. Vol. 357. Article 125446. DOI: 10.1016/j.oceaneng.2026.125446.</w:t>
      </w:r>
    </w:p>
    <w:p>
      <w:pPr>
        <w:spacing w:line="240" w:lineRule="auto" w:before="0" w:after="0"/>
        <w:ind w:firstLine="0"/>
        <w:jc w:val="both"/>
      </w:pPr>
      <w:r>
        <w:rPr>
          <w:rFonts w:ascii="Times New Roman" w:hAnsi="Times New Roman" w:eastAsia="Times New Roman"/>
          <w:b w:val="0"/>
          <w:i w:val="0"/>
          <w:sz w:val="20"/>
        </w:rPr>
        <w:t>6. Li G., Zhang W., Wang S., Zhang X. Gain scheduling-based course-keeping control for ships in rough seas // Ocean Engineering. 2026. Vol. 365, Part 2. Article 127586. DOI: 10.1016/j.oceaneng.2026.127586.</w:t>
      </w:r>
    </w:p>
    <w:p>
      <w:pPr>
        <w:spacing w:line="240" w:lineRule="auto" w:before="0" w:after="0"/>
        <w:ind w:firstLine="0"/>
        <w:jc w:val="both"/>
      </w:pPr>
      <w:r>
        <w:rPr>
          <w:rFonts w:ascii="Times New Roman" w:hAnsi="Times New Roman" w:eastAsia="Times New Roman"/>
          <w:b w:val="0"/>
          <w:i w:val="0"/>
          <w:sz w:val="20"/>
        </w:rPr>
        <w:t>7. Zhang H., Zhao Z., Wei Y., Liu Y., Wu W. A Self-Tuning Variable Universe Fuzzy PID Control Framework with Hybrid BAS-PSO-SA Optimization for Unmanned Surface Vehicles // Journal of Marine Science and Engineering. 2025. Vol. 13, No. 3. Article 558. DOI: 10.3390/jmse13030558.</w:t>
      </w:r>
    </w:p>
    <w:sectPr w:rsidR="00FC693F" w:rsidRPr="0006063C" w:rsidSect="00034616">
      <w:footerReference w:type="default" r:id="rId9"/>
      <w:pgSz w:w="8391" w:h="11906"/>
      <w:pgMar w:top="794" w:right="680" w:bottom="113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283"/>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ind w:firstLine="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ind w:firstLin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Автоматическая настройка ПИД-регулятора системы управления курсом судна при внешних возмущениях</dc:title>
  <dc:subject/>
  <dc:creator>Церцеил Юрий Вячеславович</dc:creator>
  <cp:keywords/>
  <dc:description>generated by python-docx</dc:description>
  <cp:lastModifiedBy>Церцеил Юрий Вячеславович</cp:lastModifiedBy>
  <cp:revision>1</cp:revision>
  <dcterms:created xsi:type="dcterms:W3CDTF">2013-12-23T23:15:00Z</dcterms:created>
  <dcterms:modified xsi:type="dcterms:W3CDTF">2013-12-23T23:15:00Z</dcterms:modified>
  <cp:category/>
</cp:coreProperties>
</file>