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8E" w:rsidRPr="00A5168E" w:rsidRDefault="00A5168E" w:rsidP="00A5168E">
      <w:pPr>
        <w:spacing w:after="100" w:afterAutospacing="1" w:line="240" w:lineRule="auto"/>
        <w:outlineLvl w:val="1"/>
        <w:rPr>
          <w:rFonts w:ascii="Arial" w:eastAsia="Times New Roman" w:hAnsi="Arial" w:cs="Arial"/>
          <w:color w:val="FF0000"/>
          <w:sz w:val="36"/>
          <w:szCs w:val="36"/>
        </w:rPr>
      </w:pPr>
      <w:r w:rsidRPr="00A5168E">
        <w:rPr>
          <w:rFonts w:ascii="Arial" w:eastAsia="Times New Roman" w:hAnsi="Arial" w:cs="Arial"/>
          <w:color w:val="FF0000"/>
          <w:sz w:val="36"/>
          <w:szCs w:val="36"/>
        </w:rPr>
        <w:t>The Objectives For This Module Are:</w:t>
      </w:r>
    </w:p>
    <w:p w:rsidR="00A5168E" w:rsidRPr="00A5168E" w:rsidRDefault="00A5168E" w:rsidP="00A5168E">
      <w:pPr>
        <w:numPr>
          <w:ilvl w:val="0"/>
          <w:numId w:val="1"/>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To identify the three principles of ethical human subjects research identified in the Belmont Report</w:t>
      </w:r>
    </w:p>
    <w:p w:rsidR="00A5168E" w:rsidRPr="00A5168E" w:rsidRDefault="00A5168E" w:rsidP="00A5168E">
      <w:pPr>
        <w:numPr>
          <w:ilvl w:val="0"/>
          <w:numId w:val="1"/>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To comprehend the current HHS regulations, including:</w:t>
      </w:r>
    </w:p>
    <w:p w:rsidR="00A5168E" w:rsidRPr="00A5168E" w:rsidRDefault="00A5168E" w:rsidP="00A5168E">
      <w:pPr>
        <w:numPr>
          <w:ilvl w:val="1"/>
          <w:numId w:val="1"/>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Risks associated with participation in research and appropriate protections against risks</w:t>
      </w:r>
    </w:p>
    <w:p w:rsidR="00A5168E" w:rsidRPr="00A5168E" w:rsidRDefault="00A5168E" w:rsidP="00A5168E">
      <w:pPr>
        <w:numPr>
          <w:ilvl w:val="1"/>
          <w:numId w:val="1"/>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Vulnerable populations that need specific protections</w:t>
      </w:r>
    </w:p>
    <w:p w:rsidR="00A5168E" w:rsidRPr="00A5168E" w:rsidRDefault="00A5168E" w:rsidP="00A5168E">
      <w:pPr>
        <w:numPr>
          <w:ilvl w:val="1"/>
          <w:numId w:val="1"/>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Situations in which research involving humans is exempt from regulatory requirements</w:t>
      </w:r>
    </w:p>
    <w:p w:rsidR="00A5168E" w:rsidRPr="00A5168E" w:rsidRDefault="00A5168E" w:rsidP="00A5168E">
      <w:pPr>
        <w:spacing w:after="100" w:afterAutospacing="1" w:line="240" w:lineRule="auto"/>
        <w:outlineLvl w:val="1"/>
        <w:rPr>
          <w:rFonts w:ascii="Arial" w:eastAsia="Times New Roman" w:hAnsi="Arial" w:cs="Arial"/>
          <w:color w:val="FF0000"/>
          <w:sz w:val="36"/>
          <w:szCs w:val="36"/>
        </w:rPr>
      </w:pPr>
      <w:r w:rsidRPr="00A5168E">
        <w:rPr>
          <w:rFonts w:ascii="Arial" w:eastAsia="Times New Roman" w:hAnsi="Arial" w:cs="Arial"/>
          <w:color w:val="FF0000"/>
          <w:sz w:val="36"/>
          <w:szCs w:val="36"/>
        </w:rPr>
        <w:t>The Belmont Report</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Following the public outrage over the Syphilis Study at Tuskegee, Congress established the National Commission for the Protection of Human Subjects of Biomedical and Behavioral Research in 1974. The National Commission was charged with:</w:t>
      </w:r>
    </w:p>
    <w:p w:rsidR="00A5168E" w:rsidRPr="00A5168E" w:rsidRDefault="00A5168E" w:rsidP="00A5168E">
      <w:pPr>
        <w:numPr>
          <w:ilvl w:val="0"/>
          <w:numId w:val="2"/>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Identifying the ethical principles to guide all research involving human subjects</w:t>
      </w:r>
    </w:p>
    <w:p w:rsidR="00A5168E" w:rsidRPr="00A5168E" w:rsidRDefault="00A5168E" w:rsidP="00A5168E">
      <w:pPr>
        <w:numPr>
          <w:ilvl w:val="0"/>
          <w:numId w:val="2"/>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Developing guidelines for the conduct of ethical research involving human subjects</w:t>
      </w:r>
    </w:p>
    <w:p w:rsidR="00A5168E" w:rsidRPr="00A5168E" w:rsidRDefault="00A5168E" w:rsidP="00A5168E">
      <w:pPr>
        <w:spacing w:after="0" w:line="240" w:lineRule="auto"/>
        <w:rPr>
          <w:rFonts w:ascii="Times New Roman" w:eastAsia="Times New Roman" w:hAnsi="Times New Roman" w:cs="Times New Roman"/>
          <w:sz w:val="24"/>
          <w:szCs w:val="24"/>
        </w:rPr>
      </w:pPr>
      <w:r w:rsidRPr="00A5168E">
        <w:rPr>
          <w:rFonts w:ascii="Times New Roman" w:eastAsia="Times New Roman" w:hAnsi="Times New Roman" w:cs="Times New Roman"/>
          <w:noProof/>
          <w:sz w:val="24"/>
          <w:szCs w:val="24"/>
        </w:rPr>
        <w:drawing>
          <wp:inline distT="0" distB="0" distL="0" distR="0">
            <wp:extent cx="4019550" cy="2844800"/>
            <wp:effectExtent l="0" t="0" r="0" b="0"/>
            <wp:docPr id="1" name="Picture 1" descr="Piece of torn paper titled with text: The Belmont Report - Ethical Principles and Guidelines for the Protection of Human Subjects of Research. Piece of paper titled with text: The Belmo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e of torn paper titled with text: The Belmont Report - Ethical Principles and Guidelines for the Protection of Human Subjects of Research. Piece of paper titled with text: The Belmont Re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2844800"/>
                    </a:xfrm>
                    <a:prstGeom prst="rect">
                      <a:avLst/>
                    </a:prstGeom>
                    <a:noFill/>
                    <a:ln>
                      <a:noFill/>
                    </a:ln>
                  </pic:spPr>
                </pic:pic>
              </a:graphicData>
            </a:graphic>
          </wp:inline>
        </w:drawing>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In 1979, the National Commission drafted </w:t>
      </w:r>
      <w:hyperlink r:id="rId6" w:tgtFrame="ExternalLink" w:history="1">
        <w:r w:rsidRPr="00A5168E">
          <w:rPr>
            <w:rFonts w:ascii="Arial" w:eastAsia="Times New Roman" w:hAnsi="Arial" w:cs="Arial"/>
            <w:b/>
            <w:bCs/>
            <w:color w:val="006699"/>
            <w:sz w:val="21"/>
            <w:szCs w:val="21"/>
            <w:u w:val="single"/>
          </w:rPr>
          <w:t>The Belmont Report – Ethical Principles and Guidelines for the Protection of Human Subjects of Research</w:t>
        </w:r>
      </w:hyperlink>
      <w:r w:rsidRPr="00A5168E">
        <w:rPr>
          <w:rFonts w:ascii="Arial" w:eastAsia="Times New Roman" w:hAnsi="Arial" w:cs="Arial"/>
          <w:color w:val="333333"/>
          <w:sz w:val="21"/>
          <w:szCs w:val="21"/>
        </w:rPr>
        <w:t>.</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Belmont Report identified </w:t>
      </w:r>
      <w:r w:rsidRPr="00A5168E">
        <w:rPr>
          <w:rFonts w:ascii="Arial" w:eastAsia="Times New Roman" w:hAnsi="Arial" w:cs="Arial"/>
          <w:b/>
          <w:bCs/>
          <w:color w:val="333333"/>
          <w:sz w:val="21"/>
          <w:szCs w:val="21"/>
        </w:rPr>
        <w:t>three principles</w:t>
      </w:r>
      <w:r w:rsidRPr="00A5168E">
        <w:rPr>
          <w:rFonts w:ascii="Arial" w:eastAsia="Times New Roman" w:hAnsi="Arial" w:cs="Arial"/>
          <w:color w:val="333333"/>
          <w:sz w:val="21"/>
          <w:szCs w:val="21"/>
        </w:rPr>
        <w:t> essential to the ethical conduct of research with humans:</w:t>
      </w:r>
    </w:p>
    <w:p w:rsidR="00A5168E" w:rsidRPr="00A5168E" w:rsidRDefault="00A5168E" w:rsidP="00A5168E">
      <w:pPr>
        <w:numPr>
          <w:ilvl w:val="0"/>
          <w:numId w:val="3"/>
        </w:numPr>
        <w:spacing w:after="120" w:line="240" w:lineRule="auto"/>
        <w:rPr>
          <w:rFonts w:ascii="Arial" w:eastAsia="Times New Roman" w:hAnsi="Arial" w:cs="Arial"/>
          <w:color w:val="333333"/>
          <w:sz w:val="21"/>
          <w:szCs w:val="21"/>
        </w:rPr>
      </w:pPr>
      <w:r w:rsidRPr="00A5168E">
        <w:rPr>
          <w:rFonts w:ascii="Arial" w:eastAsia="Times New Roman" w:hAnsi="Arial" w:cs="Arial"/>
          <w:b/>
          <w:bCs/>
          <w:color w:val="333333"/>
          <w:sz w:val="21"/>
          <w:szCs w:val="21"/>
        </w:rPr>
        <w:t>Respect for persons</w:t>
      </w:r>
    </w:p>
    <w:p w:rsidR="00A5168E" w:rsidRPr="00A5168E" w:rsidRDefault="00A5168E" w:rsidP="00A5168E">
      <w:pPr>
        <w:numPr>
          <w:ilvl w:val="0"/>
          <w:numId w:val="3"/>
        </w:numPr>
        <w:spacing w:after="120" w:line="240" w:lineRule="auto"/>
        <w:rPr>
          <w:rFonts w:ascii="Arial" w:eastAsia="Times New Roman" w:hAnsi="Arial" w:cs="Arial"/>
          <w:color w:val="333333"/>
          <w:sz w:val="21"/>
          <w:szCs w:val="21"/>
        </w:rPr>
      </w:pPr>
      <w:r w:rsidRPr="00A5168E">
        <w:rPr>
          <w:rFonts w:ascii="Arial" w:eastAsia="Times New Roman" w:hAnsi="Arial" w:cs="Arial"/>
          <w:b/>
          <w:bCs/>
          <w:color w:val="333333"/>
          <w:sz w:val="21"/>
          <w:szCs w:val="21"/>
        </w:rPr>
        <w:t>Beneficence</w:t>
      </w:r>
    </w:p>
    <w:p w:rsidR="00A5168E" w:rsidRPr="00A5168E" w:rsidRDefault="00A5168E" w:rsidP="00A5168E">
      <w:pPr>
        <w:numPr>
          <w:ilvl w:val="0"/>
          <w:numId w:val="3"/>
        </w:numPr>
        <w:spacing w:after="120" w:line="240" w:lineRule="auto"/>
        <w:rPr>
          <w:rFonts w:ascii="Arial" w:eastAsia="Times New Roman" w:hAnsi="Arial" w:cs="Arial"/>
          <w:color w:val="333333"/>
          <w:sz w:val="21"/>
          <w:szCs w:val="21"/>
        </w:rPr>
      </w:pPr>
      <w:r w:rsidRPr="00A5168E">
        <w:rPr>
          <w:rFonts w:ascii="Arial" w:eastAsia="Times New Roman" w:hAnsi="Arial" w:cs="Arial"/>
          <w:b/>
          <w:bCs/>
          <w:color w:val="333333"/>
          <w:sz w:val="21"/>
          <w:szCs w:val="21"/>
        </w:rPr>
        <w:t>Justice</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b/>
          <w:bCs/>
          <w:color w:val="333333"/>
          <w:sz w:val="21"/>
          <w:szCs w:val="21"/>
        </w:rPr>
        <w:lastRenderedPageBreak/>
        <w:t>These three basic principles serve as the foundation of the current HHS regulations and guidelines for the ethical conduct of human subjects research supported by HHS.</w:t>
      </w:r>
    </w:p>
    <w:p w:rsidR="00A5168E" w:rsidRPr="00A5168E" w:rsidRDefault="00A5168E" w:rsidP="00A5168E">
      <w:pPr>
        <w:spacing w:after="100" w:afterAutospacing="1" w:line="240" w:lineRule="auto"/>
        <w:outlineLvl w:val="1"/>
        <w:rPr>
          <w:rFonts w:ascii="Arial" w:eastAsia="Times New Roman" w:hAnsi="Arial" w:cs="Arial"/>
          <w:color w:val="FF0000"/>
          <w:sz w:val="36"/>
          <w:szCs w:val="36"/>
        </w:rPr>
      </w:pPr>
      <w:r w:rsidRPr="00A5168E">
        <w:rPr>
          <w:rFonts w:ascii="Arial" w:eastAsia="Times New Roman" w:hAnsi="Arial" w:cs="Arial"/>
          <w:color w:val="FF0000"/>
          <w:sz w:val="36"/>
          <w:szCs w:val="36"/>
        </w:rPr>
        <w:t>Respect for Persons</w:t>
      </w:r>
    </w:p>
    <w:p w:rsidR="00A5168E" w:rsidRPr="00A5168E" w:rsidRDefault="00A5168E" w:rsidP="00A5168E">
      <w:pPr>
        <w:spacing w:after="0" w:line="240" w:lineRule="auto"/>
        <w:rPr>
          <w:rFonts w:ascii="Times New Roman" w:eastAsia="Times New Roman" w:hAnsi="Times New Roman" w:cs="Times New Roman"/>
          <w:sz w:val="24"/>
          <w:szCs w:val="24"/>
        </w:rPr>
      </w:pPr>
      <w:r w:rsidRPr="00A5168E">
        <w:rPr>
          <w:rFonts w:ascii="Times New Roman" w:eastAsia="Times New Roman" w:hAnsi="Times New Roman" w:cs="Times New Roman"/>
          <w:noProof/>
          <w:sz w:val="24"/>
          <w:szCs w:val="24"/>
        </w:rPr>
        <w:drawing>
          <wp:inline distT="0" distB="0" distL="0" distR="0">
            <wp:extent cx="5568950" cy="1054100"/>
            <wp:effectExtent l="0" t="0" r="0" b="0"/>
            <wp:docPr id="2" name="Picture 2" descr="Quote from the Belmont Report: ”To respect autonomy is to give weight to the autonomous person's considered opinions and choices while refraining from obstructing his or her actions”' Text: Respect for Persons - next to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e from the Belmont Report: ”To respect autonomy is to give weight to the autonomous person's considered opinions and choices while refraining from obstructing his or her actions”' Text: Respect for Persons - next to the qu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950" cy="1054100"/>
                    </a:xfrm>
                    <a:prstGeom prst="rect">
                      <a:avLst/>
                    </a:prstGeom>
                    <a:noFill/>
                    <a:ln>
                      <a:noFill/>
                    </a:ln>
                  </pic:spPr>
                </pic:pic>
              </a:graphicData>
            </a:graphic>
          </wp:inline>
        </w:drawing>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principle of respect for persons can be broken down into two basic ideas:</w:t>
      </w:r>
    </w:p>
    <w:p w:rsidR="00A5168E" w:rsidRPr="00A5168E" w:rsidRDefault="00A5168E" w:rsidP="00A5168E">
      <w:pPr>
        <w:spacing w:before="300" w:after="120" w:line="240" w:lineRule="auto"/>
        <w:rPr>
          <w:rFonts w:ascii="Arial" w:eastAsia="Times New Roman" w:hAnsi="Arial" w:cs="Arial"/>
          <w:b/>
          <w:bCs/>
          <w:color w:val="1F78A5"/>
          <w:sz w:val="21"/>
          <w:szCs w:val="21"/>
          <w:u w:val="single"/>
        </w:rPr>
      </w:pPr>
      <w:r w:rsidRPr="00A5168E">
        <w:rPr>
          <w:rFonts w:ascii="Arial" w:eastAsia="Times New Roman" w:hAnsi="Arial" w:cs="Arial"/>
          <w:b/>
          <w:bCs/>
          <w:color w:val="1F78A5"/>
          <w:sz w:val="21"/>
          <w:szCs w:val="21"/>
          <w:u w:val="single"/>
        </w:rPr>
        <w:t>1. Individuals should be treated as autonomous agents</w:t>
      </w:r>
    </w:p>
    <w:p w:rsidR="00A5168E" w:rsidRPr="00A5168E" w:rsidRDefault="00A5168E" w:rsidP="00A5168E">
      <w:pPr>
        <w:spacing w:before="300" w:after="120" w:line="240" w:lineRule="auto"/>
        <w:rPr>
          <w:rFonts w:ascii="Arial" w:eastAsia="Times New Roman" w:hAnsi="Arial" w:cs="Arial"/>
          <w:b/>
          <w:bCs/>
          <w:color w:val="1F78A5"/>
          <w:sz w:val="21"/>
          <w:szCs w:val="21"/>
          <w:u w:val="single"/>
        </w:rPr>
      </w:pPr>
      <w:r w:rsidRPr="00A5168E">
        <w:rPr>
          <w:rFonts w:ascii="Arial" w:eastAsia="Times New Roman" w:hAnsi="Arial" w:cs="Arial"/>
          <w:b/>
          <w:bCs/>
          <w:color w:val="1F78A5"/>
          <w:sz w:val="21"/>
          <w:szCs w:val="21"/>
          <w:u w:val="single"/>
        </w:rPr>
        <w:t>2. Persons with diminished autonomy are entitled to additional protections</w:t>
      </w:r>
    </w:p>
    <w:p w:rsidR="00A5168E" w:rsidRPr="00A5168E" w:rsidRDefault="00A5168E" w:rsidP="00A5168E">
      <w:pPr>
        <w:spacing w:after="0" w:line="240" w:lineRule="auto"/>
        <w:rPr>
          <w:rFonts w:ascii="Times New Roman" w:eastAsia="Times New Roman" w:hAnsi="Times New Roman" w:cs="Times New Roman"/>
          <w:sz w:val="24"/>
          <w:szCs w:val="24"/>
        </w:rPr>
      </w:pPr>
      <w:r w:rsidRPr="00A5168E">
        <w:rPr>
          <w:rFonts w:ascii="Arial" w:eastAsia="Times New Roman" w:hAnsi="Arial" w:cs="Arial"/>
          <w:color w:val="333333"/>
          <w:sz w:val="21"/>
          <w:szCs w:val="21"/>
        </w:rPr>
        <w:br w:type="textWrapping" w:clear="all"/>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challenges in applying the </w:t>
      </w:r>
      <w:r w:rsidRPr="00A5168E">
        <w:rPr>
          <w:rFonts w:ascii="Arial" w:eastAsia="Times New Roman" w:hAnsi="Arial" w:cs="Arial"/>
          <w:b/>
          <w:bCs/>
          <w:color w:val="333333"/>
          <w:sz w:val="21"/>
          <w:szCs w:val="21"/>
        </w:rPr>
        <w:t>Belmont principle of respect for persons</w:t>
      </w:r>
      <w:r w:rsidRPr="00A5168E">
        <w:rPr>
          <w:rFonts w:ascii="Arial" w:eastAsia="Times New Roman" w:hAnsi="Arial" w:cs="Arial"/>
          <w:color w:val="333333"/>
          <w:sz w:val="21"/>
          <w:szCs w:val="21"/>
        </w:rPr>
        <w:t> are in:</w:t>
      </w:r>
    </w:p>
    <w:p w:rsidR="00A5168E" w:rsidRPr="00A5168E" w:rsidRDefault="00A5168E" w:rsidP="00A5168E">
      <w:pPr>
        <w:numPr>
          <w:ilvl w:val="0"/>
          <w:numId w:val="4"/>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Making sure that potential participants comprehend the risks and potential benefits of participating in research</w:t>
      </w:r>
    </w:p>
    <w:p w:rsidR="00A5168E" w:rsidRPr="00A5168E" w:rsidRDefault="00A5168E" w:rsidP="00A5168E">
      <w:pPr>
        <w:numPr>
          <w:ilvl w:val="0"/>
          <w:numId w:val="4"/>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Avoiding influencing potential participants’ decisions either through explicit or implied threats (</w:t>
      </w:r>
      <w:hyperlink r:id="rId8" w:anchor="coercion" w:history="1">
        <w:r w:rsidRPr="00A5168E">
          <w:rPr>
            <w:rFonts w:ascii="Arial" w:eastAsia="Times New Roman" w:hAnsi="Arial" w:cs="Arial"/>
            <w:b/>
            <w:bCs/>
            <w:i/>
            <w:iCs/>
            <w:color w:val="990033"/>
            <w:sz w:val="21"/>
            <w:szCs w:val="21"/>
          </w:rPr>
          <w:t>coercion</w:t>
        </w:r>
      </w:hyperlink>
      <w:r w:rsidRPr="00A5168E">
        <w:rPr>
          <w:rFonts w:ascii="Arial" w:eastAsia="Times New Roman" w:hAnsi="Arial" w:cs="Arial"/>
          <w:color w:val="333333"/>
          <w:sz w:val="21"/>
          <w:szCs w:val="21"/>
        </w:rPr>
        <w:t>) or through excessive </w:t>
      </w:r>
      <w:hyperlink r:id="rId9" w:anchor="compensation" w:history="1">
        <w:r w:rsidRPr="00A5168E">
          <w:rPr>
            <w:rFonts w:ascii="Arial" w:eastAsia="Times New Roman" w:hAnsi="Arial" w:cs="Arial"/>
            <w:b/>
            <w:bCs/>
            <w:i/>
            <w:iCs/>
            <w:color w:val="990033"/>
            <w:sz w:val="21"/>
            <w:szCs w:val="21"/>
          </w:rPr>
          <w:t>compensation</w:t>
        </w:r>
      </w:hyperlink>
      <w:r w:rsidRPr="00A5168E">
        <w:rPr>
          <w:rFonts w:ascii="Arial" w:eastAsia="Times New Roman" w:hAnsi="Arial" w:cs="Arial"/>
          <w:color w:val="333333"/>
          <w:sz w:val="21"/>
          <w:szCs w:val="21"/>
        </w:rPr>
        <w:t> (</w:t>
      </w:r>
      <w:hyperlink r:id="rId10" w:anchor="undue_influence" w:history="1">
        <w:r w:rsidRPr="00A5168E">
          <w:rPr>
            <w:rFonts w:ascii="Arial" w:eastAsia="Times New Roman" w:hAnsi="Arial" w:cs="Arial"/>
            <w:b/>
            <w:bCs/>
            <w:i/>
            <w:iCs/>
            <w:color w:val="990033"/>
            <w:sz w:val="21"/>
            <w:szCs w:val="21"/>
          </w:rPr>
          <w:t>undue influence</w:t>
        </w:r>
      </w:hyperlink>
      <w:r w:rsidRPr="00A5168E">
        <w:rPr>
          <w:rFonts w:ascii="Arial" w:eastAsia="Times New Roman" w:hAnsi="Arial" w:cs="Arial"/>
          <w:color w:val="333333"/>
          <w:sz w:val="21"/>
          <w:szCs w:val="21"/>
        </w:rPr>
        <w:t>)</w:t>
      </w:r>
    </w:p>
    <w:p w:rsidR="00A5168E" w:rsidRPr="00A5168E" w:rsidRDefault="00A5168E" w:rsidP="00A5168E">
      <w:pPr>
        <w:spacing w:after="100" w:afterAutospacing="1" w:line="240" w:lineRule="auto"/>
        <w:outlineLvl w:val="1"/>
        <w:rPr>
          <w:rFonts w:ascii="Arial" w:eastAsia="Times New Roman" w:hAnsi="Arial" w:cs="Arial"/>
          <w:color w:val="FF0000"/>
          <w:sz w:val="36"/>
          <w:szCs w:val="36"/>
        </w:rPr>
      </w:pPr>
      <w:r w:rsidRPr="00A5168E">
        <w:rPr>
          <w:rFonts w:ascii="Arial" w:eastAsia="Times New Roman" w:hAnsi="Arial" w:cs="Arial"/>
          <w:color w:val="FF0000"/>
          <w:sz w:val="36"/>
          <w:szCs w:val="36"/>
        </w:rPr>
        <w:t>Beneficence</w:t>
      </w:r>
    </w:p>
    <w:p w:rsidR="00A5168E" w:rsidRPr="00A5168E" w:rsidRDefault="00A5168E" w:rsidP="00A5168E">
      <w:pPr>
        <w:spacing w:after="204" w:line="240" w:lineRule="auto"/>
        <w:rPr>
          <w:rFonts w:ascii="Arial" w:eastAsia="Times New Roman" w:hAnsi="Arial" w:cs="Arial"/>
          <w:color w:val="333333"/>
          <w:sz w:val="21"/>
          <w:szCs w:val="21"/>
        </w:rPr>
      </w:pPr>
      <w:bookmarkStart w:id="0" w:name="_GoBack"/>
      <w:r w:rsidRPr="00A5168E">
        <w:rPr>
          <w:rFonts w:ascii="Arial" w:eastAsia="Times New Roman" w:hAnsi="Arial" w:cs="Arial"/>
          <w:noProof/>
          <w:color w:val="333333"/>
          <w:sz w:val="21"/>
          <w:szCs w:val="21"/>
        </w:rPr>
        <w:drawing>
          <wp:inline distT="0" distB="0" distL="0" distR="0">
            <wp:extent cx="5568950" cy="1276350"/>
            <wp:effectExtent l="0" t="0" r="0" b="0"/>
            <wp:docPr id="3" name="Picture 3" descr="Quote from the Belmont Report: 'Persons are treated in an ethical manner not only by respecting their decisions and protecting them from harm, but also by making efforts to secure their well-being. Such treatment falls under the principle of beneficence. The term beneficence is often understood to cover acts of kindness or charity that go beyond strict obligation. In this document, beneficence is understood in a stronger sense, as an obligation'. Text:  Beneficence - next to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e from the Belmont Report: 'Persons are treated in an ethical manner not only by respecting their decisions and protecting them from harm, but also by making efforts to secure their well-being. Such treatment falls under the principle of beneficence. The term beneficence is often understood to cover acts of kindness or charity that go beyond strict obligation. In this document, beneficence is understood in a stronger sense, as an obligation'. Text:  Beneficence - next to the qu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0" cy="1276350"/>
                    </a:xfrm>
                    <a:prstGeom prst="rect">
                      <a:avLst/>
                    </a:prstGeom>
                    <a:noFill/>
                    <a:ln>
                      <a:noFill/>
                    </a:ln>
                  </pic:spPr>
                </pic:pic>
              </a:graphicData>
            </a:graphic>
          </wp:inline>
        </w:drawing>
      </w:r>
      <w:bookmarkEnd w:id="0"/>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Two general rules have been articulated as complementary expressions of beneficent actions:</w:t>
      </w:r>
    </w:p>
    <w:p w:rsidR="00A5168E" w:rsidRPr="00A5168E" w:rsidRDefault="00A5168E" w:rsidP="00A5168E">
      <w:pPr>
        <w:numPr>
          <w:ilvl w:val="0"/>
          <w:numId w:val="5"/>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Do no harm</w:t>
      </w:r>
    </w:p>
    <w:p w:rsidR="00A5168E" w:rsidRPr="00A5168E" w:rsidRDefault="00A5168E" w:rsidP="00A5168E">
      <w:pPr>
        <w:numPr>
          <w:ilvl w:val="0"/>
          <w:numId w:val="5"/>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Maximize possible benefits and minimize possible harms</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challenge inherent in applying the </w:t>
      </w:r>
      <w:r w:rsidRPr="00A5168E">
        <w:rPr>
          <w:rFonts w:ascii="Arial" w:eastAsia="Times New Roman" w:hAnsi="Arial" w:cs="Arial"/>
          <w:b/>
          <w:bCs/>
          <w:color w:val="333333"/>
          <w:sz w:val="21"/>
          <w:szCs w:val="21"/>
        </w:rPr>
        <w:t>Belmont principle of beneficence</w:t>
      </w:r>
      <w:r w:rsidRPr="00A5168E">
        <w:rPr>
          <w:rFonts w:ascii="Arial" w:eastAsia="Times New Roman" w:hAnsi="Arial" w:cs="Arial"/>
          <w:color w:val="333333"/>
          <w:sz w:val="21"/>
          <w:szCs w:val="21"/>
        </w:rPr>
        <w:t> is how to determine when potential benefits outweigh considerations of risks and vice versa.</w:t>
      </w:r>
    </w:p>
    <w:p w:rsidR="00A5168E" w:rsidRDefault="00A5168E" w:rsidP="00A5168E">
      <w:pPr>
        <w:pStyle w:val="Heading2"/>
        <w:spacing w:before="0" w:beforeAutospacing="0"/>
        <w:rPr>
          <w:rFonts w:ascii="Arial" w:hAnsi="Arial" w:cs="Arial"/>
          <w:b w:val="0"/>
          <w:bCs w:val="0"/>
          <w:color w:val="FF0000"/>
        </w:rPr>
      </w:pPr>
      <w:r>
        <w:rPr>
          <w:rFonts w:ascii="Arial" w:hAnsi="Arial" w:cs="Arial"/>
          <w:b w:val="0"/>
          <w:bCs w:val="0"/>
          <w:color w:val="FF0000"/>
        </w:rPr>
        <w:t>Justice</w:t>
      </w:r>
    </w:p>
    <w:p w:rsidR="00A5168E" w:rsidRDefault="00A5168E" w:rsidP="00A5168E">
      <w:pPr>
        <w:rPr>
          <w:rFonts w:ascii="Times New Roman" w:hAnsi="Times New Roman" w:cs="Times New Roman"/>
        </w:rPr>
      </w:pPr>
      <w:r>
        <w:rPr>
          <w:noProof/>
        </w:rPr>
        <w:lastRenderedPageBreak/>
        <w:drawing>
          <wp:inline distT="0" distB="0" distL="0" distR="0">
            <wp:extent cx="5568950" cy="1143000"/>
            <wp:effectExtent l="0" t="0" r="0" b="0"/>
            <wp:docPr id="4" name="Picture 4" descr="Quote from the Belmont Report: 'Just as the principle of respect for persons finds expression in the requirements for consent, and the principle of beneficence in risk/benefit assessment, the principle of justice gives rise to moral requirements that there be fair procedures and outcomes in the selection of research subjects'. Text: Justice - next to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e from the Belmont Report: 'Just as the principle of respect for persons finds expression in the requirements for consent, and the principle of beneficence in risk/benefit assessment, the principle of justice gives rise to moral requirements that there be fair procedures and outcomes in the selection of research subjects'. Text: Justice - next to the qu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8950" cy="1143000"/>
                    </a:xfrm>
                    <a:prstGeom prst="rect">
                      <a:avLst/>
                    </a:prstGeom>
                    <a:noFill/>
                    <a:ln>
                      <a:noFill/>
                    </a:ln>
                  </pic:spPr>
                </pic:pic>
              </a:graphicData>
            </a:graphic>
          </wp:inline>
        </w:drawing>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p>
    <w:p w:rsidR="00A5168E" w:rsidRDefault="00A5168E" w:rsidP="00A5168E">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Justice requires that individuals and groups be treated fairly and equitably in terms of bearing the burdens and receiving the benefits of research.</w:t>
      </w:r>
    </w:p>
    <w:p w:rsidR="00A5168E" w:rsidRDefault="00A5168E" w:rsidP="00A5168E">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principle of justice may arise in decisions about inclusion and exclusion criteria for participation in research and requires</w:t>
      </w:r>
      <w:r>
        <w:rPr>
          <w:rStyle w:val="apple-converted-space"/>
          <w:rFonts w:ascii="Arial" w:hAnsi="Arial" w:cs="Arial"/>
          <w:color w:val="333333"/>
          <w:sz w:val="21"/>
          <w:szCs w:val="21"/>
        </w:rPr>
        <w:t> </w:t>
      </w:r>
      <w:hyperlink r:id="rId13" w:anchor="investigator" w:history="1">
        <w:r>
          <w:rPr>
            <w:rStyle w:val="Hyperlink"/>
            <w:rFonts w:ascii="Arial" w:hAnsi="Arial" w:cs="Arial"/>
            <w:b/>
            <w:bCs/>
            <w:i/>
            <w:iCs/>
            <w:color w:val="990033"/>
            <w:sz w:val="21"/>
            <w:szCs w:val="21"/>
            <w:u w:val="none"/>
          </w:rPr>
          <w:t>investigators</w:t>
        </w:r>
      </w:hyperlink>
      <w:r>
        <w:rPr>
          <w:rStyle w:val="apple-converted-space"/>
          <w:rFonts w:ascii="Arial" w:hAnsi="Arial" w:cs="Arial"/>
          <w:color w:val="333333"/>
          <w:sz w:val="21"/>
          <w:szCs w:val="21"/>
        </w:rPr>
        <w:t> </w:t>
      </w:r>
      <w:r>
        <w:rPr>
          <w:rFonts w:ascii="Arial" w:hAnsi="Arial" w:cs="Arial"/>
          <w:color w:val="333333"/>
          <w:sz w:val="21"/>
          <w:szCs w:val="21"/>
        </w:rPr>
        <w:t>to question whether groups are considered for inclusion simply because of their availability, their compromised position, or their vulnerability — rather than for reasons directly related to the problem being studied.</w:t>
      </w:r>
    </w:p>
    <w:p w:rsidR="00A5168E" w:rsidRDefault="00A5168E" w:rsidP="00A5168E">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challenge of applying the</w:t>
      </w:r>
      <w:r>
        <w:rPr>
          <w:rStyle w:val="apple-converted-space"/>
          <w:rFonts w:ascii="Arial" w:hAnsi="Arial" w:cs="Arial"/>
          <w:color w:val="333333"/>
          <w:sz w:val="21"/>
          <w:szCs w:val="21"/>
        </w:rPr>
        <w:t> </w:t>
      </w:r>
      <w:r>
        <w:rPr>
          <w:rStyle w:val="Strong"/>
          <w:rFonts w:ascii="Arial" w:hAnsi="Arial" w:cs="Arial"/>
          <w:color w:val="333333"/>
          <w:sz w:val="21"/>
          <w:szCs w:val="21"/>
        </w:rPr>
        <w:t>Belmont principle of justice</w:t>
      </w:r>
      <w:r>
        <w:rPr>
          <w:rStyle w:val="apple-converted-space"/>
          <w:rFonts w:ascii="Arial" w:hAnsi="Arial" w:cs="Arial"/>
          <w:b/>
          <w:bCs/>
          <w:color w:val="333333"/>
          <w:sz w:val="21"/>
          <w:szCs w:val="21"/>
        </w:rPr>
        <w:t> </w:t>
      </w:r>
      <w:r>
        <w:rPr>
          <w:rFonts w:ascii="Arial" w:hAnsi="Arial" w:cs="Arial"/>
          <w:color w:val="333333"/>
          <w:sz w:val="21"/>
          <w:szCs w:val="21"/>
        </w:rPr>
        <w:t>is how to decide which criteria should be used to ensure that harms and benefits of research are equitably distributed to individuals and populations.</w:t>
      </w:r>
    </w:p>
    <w:p w:rsidR="007E28EB" w:rsidRDefault="00A5168E">
      <w:r>
        <w:rPr>
          <w:noProof/>
        </w:rPr>
        <w:drawing>
          <wp:inline distT="0" distB="0" distL="0" distR="0" wp14:anchorId="06B96A60" wp14:editId="5DEBDA76">
            <wp:extent cx="4603750" cy="2604923"/>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34" t="20703" r="61326" b="40931"/>
                    <a:stretch/>
                  </pic:blipFill>
                  <pic:spPr bwMode="auto">
                    <a:xfrm>
                      <a:off x="0" y="0"/>
                      <a:ext cx="4625755" cy="2617374"/>
                    </a:xfrm>
                    <a:prstGeom prst="rect">
                      <a:avLst/>
                    </a:prstGeom>
                    <a:ln>
                      <a:noFill/>
                    </a:ln>
                    <a:extLst>
                      <a:ext uri="{53640926-AAD7-44D8-BBD7-CCE9431645EC}">
                        <a14:shadowObscured xmlns:a14="http://schemas.microsoft.com/office/drawing/2010/main"/>
                      </a:ext>
                    </a:extLst>
                  </pic:spPr>
                </pic:pic>
              </a:graphicData>
            </a:graphic>
          </wp:inline>
        </w:drawing>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ethical principles for research involving human subjects described in the Belmont Report are codified in the Code of Federal Regulations, </w:t>
      </w:r>
      <w:hyperlink r:id="rId15" w:history="1">
        <w:r w:rsidRPr="00A5168E">
          <w:rPr>
            <w:rFonts w:ascii="Arial" w:eastAsia="Times New Roman" w:hAnsi="Arial" w:cs="Arial"/>
            <w:b/>
            <w:bCs/>
            <w:color w:val="006699"/>
            <w:sz w:val="21"/>
            <w:szCs w:val="21"/>
            <w:u w:val="single"/>
          </w:rPr>
          <w:t>45 CFR 46</w:t>
        </w:r>
      </w:hyperlink>
      <w:r w:rsidRPr="00A5168E">
        <w:rPr>
          <w:rFonts w:ascii="Arial" w:eastAsia="Times New Roman" w:hAnsi="Arial" w:cs="Arial"/>
          <w:color w:val="333333"/>
          <w:sz w:val="21"/>
          <w:szCs w:val="21"/>
        </w:rPr>
        <w:t>. The NIH follows all Subparts of the HHS regulations:</w:t>
      </w:r>
    </w:p>
    <w:p w:rsidR="00A5168E" w:rsidRPr="00A5168E" w:rsidRDefault="00A5168E" w:rsidP="00A5168E">
      <w:pPr>
        <w:spacing w:after="204" w:line="240" w:lineRule="auto"/>
        <w:rPr>
          <w:rFonts w:ascii="Arial" w:eastAsia="Times New Roman" w:hAnsi="Arial" w:cs="Arial"/>
          <w:color w:val="333333"/>
          <w:sz w:val="21"/>
          <w:szCs w:val="21"/>
        </w:rPr>
      </w:pPr>
      <w:hyperlink r:id="rId16" w:anchor="subparta" w:history="1">
        <w:r w:rsidRPr="00A5168E">
          <w:rPr>
            <w:rFonts w:ascii="Arial" w:eastAsia="Times New Roman" w:hAnsi="Arial" w:cs="Arial"/>
            <w:b/>
            <w:bCs/>
            <w:color w:val="006699"/>
            <w:sz w:val="21"/>
            <w:szCs w:val="21"/>
            <w:u w:val="single"/>
          </w:rPr>
          <w:t>Subpart A</w:t>
        </w:r>
      </w:hyperlink>
      <w:r w:rsidRPr="00A5168E">
        <w:rPr>
          <w:rFonts w:ascii="Arial" w:eastAsia="Times New Roman" w:hAnsi="Arial" w:cs="Arial"/>
          <w:color w:val="333333"/>
          <w:sz w:val="21"/>
          <w:szCs w:val="21"/>
        </w:rPr>
        <w:t> – Basic HHS Policy for Protection of Human Research Subjects</w:t>
      </w:r>
    </w:p>
    <w:p w:rsidR="00A5168E" w:rsidRPr="00A5168E" w:rsidRDefault="00A5168E" w:rsidP="00A5168E">
      <w:pPr>
        <w:spacing w:after="204" w:line="240" w:lineRule="auto"/>
        <w:rPr>
          <w:rFonts w:ascii="Arial" w:eastAsia="Times New Roman" w:hAnsi="Arial" w:cs="Arial"/>
          <w:color w:val="333333"/>
          <w:sz w:val="21"/>
          <w:szCs w:val="21"/>
        </w:rPr>
      </w:pPr>
      <w:hyperlink r:id="rId17" w:anchor="subpartb" w:history="1">
        <w:r w:rsidRPr="00A5168E">
          <w:rPr>
            <w:rFonts w:ascii="Arial" w:eastAsia="Times New Roman" w:hAnsi="Arial" w:cs="Arial"/>
            <w:b/>
            <w:bCs/>
            <w:color w:val="006699"/>
            <w:sz w:val="21"/>
            <w:szCs w:val="21"/>
            <w:u w:val="single"/>
          </w:rPr>
          <w:t>Subpart B</w:t>
        </w:r>
      </w:hyperlink>
      <w:r w:rsidRPr="00A5168E">
        <w:rPr>
          <w:rFonts w:ascii="Arial" w:eastAsia="Times New Roman" w:hAnsi="Arial" w:cs="Arial"/>
          <w:color w:val="333333"/>
          <w:sz w:val="21"/>
          <w:szCs w:val="21"/>
        </w:rPr>
        <w:t> – Additional Protections for </w:t>
      </w:r>
      <w:hyperlink r:id="rId18" w:anchor="pregnancy" w:history="1">
        <w:r w:rsidRPr="00A5168E">
          <w:rPr>
            <w:rFonts w:ascii="Arial" w:eastAsia="Times New Roman" w:hAnsi="Arial" w:cs="Arial"/>
            <w:b/>
            <w:bCs/>
            <w:i/>
            <w:iCs/>
            <w:color w:val="990033"/>
            <w:sz w:val="21"/>
            <w:szCs w:val="21"/>
          </w:rPr>
          <w:t>Pregnant</w:t>
        </w:r>
      </w:hyperlink>
      <w:r w:rsidRPr="00A5168E">
        <w:rPr>
          <w:rFonts w:ascii="Arial" w:eastAsia="Times New Roman" w:hAnsi="Arial" w:cs="Arial"/>
          <w:color w:val="333333"/>
          <w:sz w:val="21"/>
          <w:szCs w:val="21"/>
        </w:rPr>
        <w:t> Women, Human </w:t>
      </w:r>
      <w:hyperlink r:id="rId19" w:anchor="fetus" w:history="1">
        <w:r w:rsidRPr="00A5168E">
          <w:rPr>
            <w:rFonts w:ascii="Arial" w:eastAsia="Times New Roman" w:hAnsi="Arial" w:cs="Arial"/>
            <w:b/>
            <w:bCs/>
            <w:i/>
            <w:iCs/>
            <w:color w:val="990033"/>
            <w:sz w:val="21"/>
            <w:szCs w:val="21"/>
          </w:rPr>
          <w:t>Fetuses</w:t>
        </w:r>
      </w:hyperlink>
      <w:r w:rsidRPr="00A5168E">
        <w:rPr>
          <w:rFonts w:ascii="Arial" w:eastAsia="Times New Roman" w:hAnsi="Arial" w:cs="Arial"/>
          <w:color w:val="333333"/>
          <w:sz w:val="21"/>
          <w:szCs w:val="21"/>
        </w:rPr>
        <w:t> and </w:t>
      </w:r>
      <w:hyperlink r:id="rId20" w:anchor="neonates" w:history="1">
        <w:r w:rsidRPr="00A5168E">
          <w:rPr>
            <w:rFonts w:ascii="Arial" w:eastAsia="Times New Roman" w:hAnsi="Arial" w:cs="Arial"/>
            <w:b/>
            <w:bCs/>
            <w:i/>
            <w:iCs/>
            <w:color w:val="990033"/>
            <w:sz w:val="21"/>
            <w:szCs w:val="21"/>
          </w:rPr>
          <w:t>Neonates</w:t>
        </w:r>
      </w:hyperlink>
      <w:r w:rsidRPr="00A5168E">
        <w:rPr>
          <w:rFonts w:ascii="Arial" w:eastAsia="Times New Roman" w:hAnsi="Arial" w:cs="Arial"/>
          <w:color w:val="333333"/>
          <w:sz w:val="21"/>
          <w:szCs w:val="21"/>
        </w:rPr>
        <w:t> Involved in Research</w:t>
      </w:r>
    </w:p>
    <w:p w:rsidR="00A5168E" w:rsidRPr="00A5168E" w:rsidRDefault="00A5168E" w:rsidP="00A5168E">
      <w:pPr>
        <w:spacing w:after="204" w:line="240" w:lineRule="auto"/>
        <w:rPr>
          <w:rFonts w:ascii="Arial" w:eastAsia="Times New Roman" w:hAnsi="Arial" w:cs="Arial"/>
          <w:color w:val="333333"/>
          <w:sz w:val="21"/>
          <w:szCs w:val="21"/>
        </w:rPr>
      </w:pPr>
      <w:hyperlink r:id="rId21" w:anchor="subpartc" w:history="1">
        <w:r w:rsidRPr="00A5168E">
          <w:rPr>
            <w:rFonts w:ascii="Arial" w:eastAsia="Times New Roman" w:hAnsi="Arial" w:cs="Arial"/>
            <w:b/>
            <w:bCs/>
            <w:color w:val="006699"/>
            <w:sz w:val="21"/>
            <w:szCs w:val="21"/>
            <w:u w:val="single"/>
          </w:rPr>
          <w:t>Subpart C</w:t>
        </w:r>
      </w:hyperlink>
      <w:r w:rsidRPr="00A5168E">
        <w:rPr>
          <w:rFonts w:ascii="Arial" w:eastAsia="Times New Roman" w:hAnsi="Arial" w:cs="Arial"/>
          <w:color w:val="333333"/>
          <w:sz w:val="21"/>
          <w:szCs w:val="21"/>
        </w:rPr>
        <w:t> – Additional Protections Pertaining to Biomedical and Behavioral Research Involving </w:t>
      </w:r>
      <w:hyperlink r:id="rId22" w:anchor="prisoner" w:history="1">
        <w:r w:rsidRPr="00A5168E">
          <w:rPr>
            <w:rFonts w:ascii="Arial" w:eastAsia="Times New Roman" w:hAnsi="Arial" w:cs="Arial"/>
            <w:b/>
            <w:bCs/>
            <w:i/>
            <w:iCs/>
            <w:color w:val="990033"/>
            <w:sz w:val="21"/>
            <w:szCs w:val="21"/>
          </w:rPr>
          <w:t>Prisoners</w:t>
        </w:r>
      </w:hyperlink>
      <w:r w:rsidRPr="00A5168E">
        <w:rPr>
          <w:rFonts w:ascii="Arial" w:eastAsia="Times New Roman" w:hAnsi="Arial" w:cs="Arial"/>
          <w:color w:val="333333"/>
          <w:sz w:val="21"/>
          <w:szCs w:val="21"/>
        </w:rPr>
        <w:t> as Subjects</w:t>
      </w:r>
    </w:p>
    <w:p w:rsidR="00A5168E" w:rsidRPr="00A5168E" w:rsidRDefault="00A5168E" w:rsidP="00A5168E">
      <w:pPr>
        <w:spacing w:after="204" w:line="240" w:lineRule="auto"/>
        <w:rPr>
          <w:rFonts w:ascii="Arial" w:eastAsia="Times New Roman" w:hAnsi="Arial" w:cs="Arial"/>
          <w:color w:val="333333"/>
          <w:sz w:val="21"/>
          <w:szCs w:val="21"/>
        </w:rPr>
      </w:pPr>
      <w:hyperlink r:id="rId23" w:anchor="subpartd" w:history="1">
        <w:r w:rsidRPr="00A5168E">
          <w:rPr>
            <w:rFonts w:ascii="Arial" w:eastAsia="Times New Roman" w:hAnsi="Arial" w:cs="Arial"/>
            <w:b/>
            <w:bCs/>
            <w:color w:val="006699"/>
            <w:sz w:val="21"/>
            <w:szCs w:val="21"/>
            <w:u w:val="single"/>
          </w:rPr>
          <w:t>Subpart D</w:t>
        </w:r>
      </w:hyperlink>
      <w:r w:rsidRPr="00A5168E">
        <w:rPr>
          <w:rFonts w:ascii="Arial" w:eastAsia="Times New Roman" w:hAnsi="Arial" w:cs="Arial"/>
          <w:color w:val="333333"/>
          <w:sz w:val="21"/>
          <w:szCs w:val="21"/>
        </w:rPr>
        <w:t> – Additional Protections for Children Involved as Subjects in Research</w:t>
      </w:r>
    </w:p>
    <w:p w:rsidR="00A5168E" w:rsidRPr="00A5168E" w:rsidRDefault="00A5168E" w:rsidP="00A5168E">
      <w:pPr>
        <w:spacing w:after="204" w:line="240" w:lineRule="auto"/>
        <w:rPr>
          <w:rFonts w:ascii="Arial" w:eastAsia="Times New Roman" w:hAnsi="Arial" w:cs="Arial"/>
          <w:color w:val="333333"/>
          <w:sz w:val="21"/>
          <w:szCs w:val="21"/>
        </w:rPr>
      </w:pPr>
      <w:hyperlink r:id="rId24" w:anchor="subparte" w:history="1">
        <w:r w:rsidRPr="00A5168E">
          <w:rPr>
            <w:rFonts w:ascii="Arial" w:eastAsia="Times New Roman" w:hAnsi="Arial" w:cs="Arial"/>
            <w:b/>
            <w:bCs/>
            <w:color w:val="006699"/>
            <w:sz w:val="21"/>
            <w:szCs w:val="21"/>
            <w:u w:val="single"/>
          </w:rPr>
          <w:t>Subpart E</w:t>
        </w:r>
      </w:hyperlink>
      <w:r w:rsidRPr="00A5168E">
        <w:rPr>
          <w:rFonts w:ascii="Arial" w:eastAsia="Times New Roman" w:hAnsi="Arial" w:cs="Arial"/>
          <w:color w:val="333333"/>
          <w:sz w:val="21"/>
          <w:szCs w:val="21"/>
        </w:rPr>
        <w:t> – Registration of Institutional Review Boards (effective July 14, 2009)</w:t>
      </w:r>
    </w:p>
    <w:p w:rsidR="00A5168E" w:rsidRPr="00A5168E" w:rsidRDefault="00A5168E" w:rsidP="00A5168E">
      <w:pPr>
        <w:shd w:val="clear" w:color="auto" w:fill="FFFFFF"/>
        <w:spacing w:after="100" w:afterAutospacing="1" w:line="240" w:lineRule="auto"/>
        <w:outlineLvl w:val="1"/>
        <w:rPr>
          <w:rFonts w:ascii="Arial" w:eastAsia="Times New Roman" w:hAnsi="Arial" w:cs="Arial"/>
          <w:color w:val="FF0000"/>
          <w:sz w:val="32"/>
          <w:szCs w:val="32"/>
        </w:rPr>
      </w:pPr>
      <w:r w:rsidRPr="00A5168E">
        <w:rPr>
          <w:rFonts w:ascii="Arial" w:eastAsia="Times New Roman" w:hAnsi="Arial" w:cs="Arial"/>
          <w:color w:val="FF0000"/>
          <w:sz w:val="32"/>
          <w:szCs w:val="32"/>
        </w:rPr>
        <w:lastRenderedPageBreak/>
        <w:t>Subpart A - Basic HHS Policy for Protection of Human Research Subjects</w:t>
      </w:r>
    </w:p>
    <w:p w:rsidR="00A5168E" w:rsidRPr="00A5168E" w:rsidRDefault="00A5168E" w:rsidP="00A5168E">
      <w:pPr>
        <w:shd w:val="clear" w:color="auto" w:fill="FFFFFF"/>
        <w:spacing w:after="204" w:line="240" w:lineRule="auto"/>
        <w:rPr>
          <w:rFonts w:ascii="Arial" w:eastAsia="Times New Roman" w:hAnsi="Arial" w:cs="Arial"/>
          <w:color w:val="333333"/>
          <w:sz w:val="21"/>
          <w:szCs w:val="21"/>
        </w:rPr>
      </w:pPr>
      <w:hyperlink r:id="rId25" w:anchor="subparta" w:history="1">
        <w:r w:rsidRPr="00A5168E">
          <w:rPr>
            <w:rFonts w:ascii="Arial" w:eastAsia="Times New Roman" w:hAnsi="Arial" w:cs="Arial"/>
            <w:b/>
            <w:bCs/>
            <w:color w:val="006699"/>
            <w:sz w:val="21"/>
            <w:szCs w:val="21"/>
            <w:u w:val="single"/>
          </w:rPr>
          <w:t>Subpart A</w:t>
        </w:r>
      </w:hyperlink>
      <w:r w:rsidRPr="00A5168E">
        <w:rPr>
          <w:rFonts w:ascii="Arial" w:eastAsia="Times New Roman" w:hAnsi="Arial" w:cs="Arial"/>
          <w:color w:val="333333"/>
          <w:sz w:val="21"/>
          <w:szCs w:val="21"/>
        </w:rPr>
        <w:t>, also called </w:t>
      </w:r>
      <w:r w:rsidRPr="00A5168E">
        <w:rPr>
          <w:rFonts w:ascii="Arial" w:eastAsia="Times New Roman" w:hAnsi="Arial" w:cs="Arial"/>
          <w:b/>
          <w:bCs/>
          <w:color w:val="333333"/>
          <w:sz w:val="21"/>
          <w:szCs w:val="21"/>
        </w:rPr>
        <w:t>“The Common Rule”</w:t>
      </w:r>
      <w:r w:rsidRPr="00A5168E">
        <w:rPr>
          <w:rFonts w:ascii="Arial" w:eastAsia="Times New Roman" w:hAnsi="Arial" w:cs="Arial"/>
          <w:color w:val="333333"/>
          <w:sz w:val="21"/>
          <w:szCs w:val="21"/>
        </w:rPr>
        <w:t>, describes the required protections for all human subjects.</w:t>
      </w:r>
    </w:p>
    <w:p w:rsidR="00A5168E" w:rsidRPr="00A5168E" w:rsidRDefault="00A5168E" w:rsidP="00A5168E">
      <w:pPr>
        <w:shd w:val="clear" w:color="auto" w:fill="FFFFFF"/>
        <w:spacing w:after="204" w:line="240" w:lineRule="auto"/>
        <w:rPr>
          <w:rFonts w:ascii="Arial" w:eastAsia="Times New Roman" w:hAnsi="Arial" w:cs="Arial"/>
          <w:color w:val="333333"/>
          <w:sz w:val="21"/>
          <w:szCs w:val="21"/>
        </w:rPr>
      </w:pPr>
      <w:r w:rsidRPr="00A5168E">
        <w:rPr>
          <w:rFonts w:ascii="Arial" w:eastAsia="Times New Roman" w:hAnsi="Arial" w:cs="Arial"/>
          <w:b/>
          <w:bCs/>
          <w:color w:val="333333"/>
          <w:sz w:val="21"/>
          <w:szCs w:val="21"/>
        </w:rPr>
        <w:t>Subpart A</w:t>
      </w:r>
      <w:r w:rsidRPr="00A5168E">
        <w:rPr>
          <w:rFonts w:ascii="Arial" w:eastAsia="Times New Roman" w:hAnsi="Arial" w:cs="Arial"/>
          <w:color w:val="333333"/>
          <w:sz w:val="21"/>
          <w:szCs w:val="21"/>
        </w:rPr>
        <w:t> defines a </w:t>
      </w:r>
      <w:r w:rsidRPr="00A5168E">
        <w:rPr>
          <w:rFonts w:ascii="Arial" w:eastAsia="Times New Roman" w:hAnsi="Arial" w:cs="Arial"/>
          <w:b/>
          <w:bCs/>
          <w:i/>
          <w:iCs/>
          <w:color w:val="333333"/>
          <w:sz w:val="21"/>
          <w:szCs w:val="21"/>
        </w:rPr>
        <w:t>human subject</w:t>
      </w:r>
      <w:r w:rsidRPr="00A5168E">
        <w:rPr>
          <w:rFonts w:ascii="Arial" w:eastAsia="Times New Roman" w:hAnsi="Arial" w:cs="Arial"/>
          <w:color w:val="333333"/>
          <w:sz w:val="21"/>
          <w:szCs w:val="21"/>
        </w:rPr>
        <w:t> as “a living individual about whom an </w:t>
      </w:r>
      <w:hyperlink r:id="rId26" w:anchor="investigator" w:history="1">
        <w:r w:rsidRPr="00A5168E">
          <w:rPr>
            <w:rFonts w:ascii="Arial" w:eastAsia="Times New Roman" w:hAnsi="Arial" w:cs="Arial"/>
            <w:b/>
            <w:bCs/>
            <w:i/>
            <w:iCs/>
            <w:color w:val="990033"/>
            <w:sz w:val="21"/>
            <w:szCs w:val="21"/>
            <w:u w:val="single"/>
          </w:rPr>
          <w:t>investigator</w:t>
        </w:r>
      </w:hyperlink>
      <w:r w:rsidRPr="00A5168E">
        <w:rPr>
          <w:rFonts w:ascii="Arial" w:eastAsia="Times New Roman" w:hAnsi="Arial" w:cs="Arial"/>
          <w:color w:val="333333"/>
          <w:sz w:val="21"/>
          <w:szCs w:val="21"/>
        </w:rPr>
        <w:t>...conducting research obtains:</w:t>
      </w:r>
    </w:p>
    <w:p w:rsidR="00A5168E" w:rsidRPr="00A5168E" w:rsidRDefault="00A5168E" w:rsidP="00A5168E">
      <w:pPr>
        <w:numPr>
          <w:ilvl w:val="0"/>
          <w:numId w:val="6"/>
        </w:numPr>
        <w:shd w:val="clear" w:color="auto" w:fill="FFFFFF"/>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Data through intervention or interaction with the individual, or</w:t>
      </w:r>
    </w:p>
    <w:p w:rsidR="00A5168E" w:rsidRPr="00A5168E" w:rsidRDefault="00A5168E" w:rsidP="00A5168E">
      <w:pPr>
        <w:numPr>
          <w:ilvl w:val="0"/>
          <w:numId w:val="6"/>
        </w:numPr>
        <w:shd w:val="clear" w:color="auto" w:fill="FFFFFF"/>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Identifiable private information.”</w:t>
      </w:r>
    </w:p>
    <w:p w:rsidR="00A5168E" w:rsidRPr="00A5168E" w:rsidRDefault="00A5168E" w:rsidP="00A5168E">
      <w:pPr>
        <w:shd w:val="clear" w:color="auto" w:fill="FFFFFF"/>
        <w:spacing w:after="204" w:line="240" w:lineRule="auto"/>
        <w:rPr>
          <w:rFonts w:ascii="Arial" w:eastAsia="Times New Roman" w:hAnsi="Arial" w:cs="Arial"/>
          <w:color w:val="333333"/>
          <w:sz w:val="21"/>
          <w:szCs w:val="21"/>
        </w:rPr>
      </w:pPr>
      <w:r w:rsidRPr="00A5168E">
        <w:rPr>
          <w:rFonts w:ascii="Arial" w:eastAsia="Times New Roman" w:hAnsi="Arial" w:cs="Arial"/>
          <w:b/>
          <w:bCs/>
          <w:color w:val="333333"/>
          <w:sz w:val="21"/>
          <w:szCs w:val="21"/>
        </w:rPr>
        <w:t>Subpart A</w:t>
      </w:r>
      <w:r w:rsidRPr="00A5168E">
        <w:rPr>
          <w:rFonts w:ascii="Arial" w:eastAsia="Times New Roman" w:hAnsi="Arial" w:cs="Arial"/>
          <w:color w:val="333333"/>
          <w:sz w:val="21"/>
          <w:szCs w:val="21"/>
        </w:rPr>
        <w:t> defines </w:t>
      </w:r>
      <w:r w:rsidRPr="00A5168E">
        <w:rPr>
          <w:rFonts w:ascii="Arial" w:eastAsia="Times New Roman" w:hAnsi="Arial" w:cs="Arial"/>
          <w:b/>
          <w:bCs/>
          <w:i/>
          <w:iCs/>
          <w:color w:val="333333"/>
          <w:sz w:val="21"/>
          <w:szCs w:val="21"/>
        </w:rPr>
        <w:t>research</w:t>
      </w:r>
      <w:r w:rsidRPr="00A5168E">
        <w:rPr>
          <w:rFonts w:ascii="Arial" w:eastAsia="Times New Roman" w:hAnsi="Arial" w:cs="Arial"/>
          <w:color w:val="333333"/>
          <w:sz w:val="21"/>
          <w:szCs w:val="21"/>
        </w:rPr>
        <w:t> as “a systematic investigation...designed to develop or contribute to generalizable knowledge.”</w:t>
      </w:r>
    </w:p>
    <w:p w:rsidR="00A5168E" w:rsidRPr="00A5168E" w:rsidRDefault="00A5168E" w:rsidP="00A5168E">
      <w:pPr>
        <w:shd w:val="clear" w:color="auto" w:fill="FFFFFF"/>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This definition includes:</w:t>
      </w:r>
    </w:p>
    <w:p w:rsidR="00A5168E" w:rsidRPr="00A5168E" w:rsidRDefault="00A5168E" w:rsidP="00A5168E">
      <w:pPr>
        <w:numPr>
          <w:ilvl w:val="0"/>
          <w:numId w:val="7"/>
        </w:numPr>
        <w:shd w:val="clear" w:color="auto" w:fill="FFFFFF"/>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Research development</w:t>
      </w:r>
    </w:p>
    <w:p w:rsidR="00A5168E" w:rsidRPr="00A5168E" w:rsidRDefault="00A5168E" w:rsidP="00A5168E">
      <w:pPr>
        <w:numPr>
          <w:ilvl w:val="0"/>
          <w:numId w:val="7"/>
        </w:numPr>
        <w:shd w:val="clear" w:color="auto" w:fill="FFFFFF"/>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Testing</w:t>
      </w:r>
    </w:p>
    <w:p w:rsidR="00A5168E" w:rsidRPr="00A5168E" w:rsidRDefault="00A5168E" w:rsidP="00A5168E">
      <w:pPr>
        <w:numPr>
          <w:ilvl w:val="0"/>
          <w:numId w:val="7"/>
        </w:numPr>
        <w:shd w:val="clear" w:color="auto" w:fill="FFFFFF"/>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Evaluation</w:t>
      </w:r>
    </w:p>
    <w:p w:rsidR="00A5168E" w:rsidRPr="00A5168E" w:rsidRDefault="00A5168E" w:rsidP="00A5168E">
      <w:pPr>
        <w:pStyle w:val="ListParagraph"/>
        <w:numPr>
          <w:ilvl w:val="0"/>
          <w:numId w:val="7"/>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Read the study description below and determine if </w:t>
      </w:r>
      <w:r w:rsidRPr="00A5168E">
        <w:rPr>
          <w:rFonts w:ascii="Arial" w:eastAsia="Times New Roman" w:hAnsi="Arial" w:cs="Arial"/>
          <w:b/>
          <w:bCs/>
          <w:color w:val="FF0000"/>
          <w:sz w:val="21"/>
          <w:szCs w:val="21"/>
        </w:rPr>
        <w:t>Subparts B, C or D</w:t>
      </w:r>
      <w:r w:rsidRPr="00A5168E">
        <w:rPr>
          <w:rFonts w:ascii="Arial" w:eastAsia="Times New Roman" w:hAnsi="Arial" w:cs="Arial"/>
          <w:color w:val="333333"/>
          <w:sz w:val="21"/>
          <w:szCs w:val="21"/>
        </w:rPr>
        <w:t> of HHS Regulations require additional protections for the study”s participants:</w:t>
      </w:r>
    </w:p>
    <w:p w:rsidR="00A5168E" w:rsidRPr="00A5168E" w:rsidRDefault="00A5168E" w:rsidP="00A5168E">
      <w:pPr>
        <w:pStyle w:val="ListParagraph"/>
        <w:numPr>
          <w:ilvl w:val="0"/>
          <w:numId w:val="7"/>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A study proposes to examine the effectiveness of a medical treatment and prevention program for adolescents in a location where the legal age for consent to such treatment is 12. The adolescents involved range from ages 12 to 17.</w:t>
      </w:r>
    </w:p>
    <w:p w:rsidR="00A5168E" w:rsidRPr="00A5168E" w:rsidRDefault="00A5168E" w:rsidP="00A5168E">
      <w:pPr>
        <w:pStyle w:val="ListParagraph"/>
        <w:numPr>
          <w:ilvl w:val="0"/>
          <w:numId w:val="7"/>
        </w:numPr>
        <w:spacing w:after="0" w:line="240" w:lineRule="auto"/>
        <w:rPr>
          <w:rFonts w:ascii="Times New Roman" w:eastAsia="Times New Roman" w:hAnsi="Times New Roman" w:cs="Times New Roman"/>
          <w:sz w:val="24"/>
          <w:szCs w:val="24"/>
        </w:rPr>
      </w:pPr>
      <w:r w:rsidRPr="00A5168E">
        <w:rPr>
          <w:rFonts w:ascii="Arial" w:eastAsia="Times New Roman" w:hAnsi="Arial" w:cs="Arial"/>
          <w:color w:val="333333"/>
          <w:sz w:val="21"/>
          <w:szCs w:val="21"/>
        </w:rPr>
        <w:br w:type="textWrapping" w:clear="all"/>
      </w:r>
    </w:p>
    <w:p w:rsidR="00A5168E" w:rsidRPr="00A5168E" w:rsidRDefault="00A5168E" w:rsidP="00A5168E">
      <w:pPr>
        <w:pStyle w:val="ListParagraph"/>
        <w:numPr>
          <w:ilvl w:val="0"/>
          <w:numId w:val="7"/>
        </w:numPr>
        <w:spacing w:after="204" w:line="240" w:lineRule="auto"/>
        <w:rPr>
          <w:rFonts w:ascii="Arial" w:eastAsia="Times New Roman" w:hAnsi="Arial" w:cs="Arial"/>
          <w:b/>
          <w:bCs/>
          <w:color w:val="FF0000"/>
          <w:sz w:val="21"/>
          <w:szCs w:val="21"/>
        </w:rPr>
      </w:pPr>
      <w:r w:rsidRPr="00A5168E">
        <w:rPr>
          <w:rFonts w:ascii="Arial" w:eastAsia="Times New Roman" w:hAnsi="Arial" w:cs="Arial"/>
          <w:b/>
          <w:bCs/>
          <w:color w:val="FF0000"/>
          <w:sz w:val="21"/>
          <w:szCs w:val="21"/>
        </w:rPr>
        <w:t>Do Subparts B, C or D require that participants in this study receive additional protections?</w:t>
      </w:r>
    </w:p>
    <w:p w:rsidR="00A5168E" w:rsidRPr="00A5168E" w:rsidRDefault="00A5168E" w:rsidP="00A5168E">
      <w:pPr>
        <w:pStyle w:val="ListParagraph"/>
        <w:numPr>
          <w:ilvl w:val="0"/>
          <w:numId w:val="7"/>
        </w:numPr>
        <w:spacing w:after="0" w:line="240" w:lineRule="auto"/>
        <w:rPr>
          <w:rFonts w:ascii="Arial" w:eastAsia="Times New Roman" w:hAnsi="Arial" w:cs="Arial"/>
          <w:color w:val="333333"/>
          <w:sz w:val="21"/>
          <w:szCs w:val="21"/>
        </w:rPr>
      </w:pPr>
      <w:r w:rsidRPr="00A5168E">
        <w:rPr>
          <w:noProof/>
        </w:rPr>
        <w:drawing>
          <wp:inline distT="0" distB="0" distL="0" distR="0">
            <wp:extent cx="1739900" cy="533400"/>
            <wp:effectExtent l="0" t="0" r="0" b="0"/>
            <wp:docPr id="7" name="Picture 7"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 What Do You Thin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A5168E" w:rsidRPr="00A5168E" w:rsidRDefault="00A5168E" w:rsidP="00A5168E">
      <w:pPr>
        <w:pStyle w:val="ListParagraph"/>
        <w:numPr>
          <w:ilvl w:val="0"/>
          <w:numId w:val="7"/>
        </w:numPr>
        <w:spacing w:before="300" w:after="120" w:line="240" w:lineRule="auto"/>
        <w:rPr>
          <w:rFonts w:ascii="Arial" w:eastAsia="Times New Roman" w:hAnsi="Arial" w:cs="Arial"/>
          <w:b/>
          <w:bCs/>
          <w:color w:val="1F78A5"/>
          <w:sz w:val="21"/>
          <w:szCs w:val="21"/>
          <w:u w:val="single"/>
        </w:rPr>
      </w:pPr>
      <w:r w:rsidRPr="00A5168E">
        <w:rPr>
          <w:rFonts w:ascii="Arial" w:eastAsia="Times New Roman" w:hAnsi="Arial" w:cs="Arial"/>
          <w:b/>
          <w:bCs/>
          <w:color w:val="1F78A5"/>
          <w:sz w:val="21"/>
          <w:szCs w:val="21"/>
          <w:u w:val="single"/>
        </w:rPr>
        <w:t>Yes, additional protections for participants in this study are required under Subparts B, C or D</w:t>
      </w:r>
    </w:p>
    <w:p w:rsidR="00A5168E" w:rsidRPr="00A5168E" w:rsidRDefault="00A5168E" w:rsidP="00A5168E">
      <w:pPr>
        <w:pStyle w:val="ListParagraph"/>
        <w:numPr>
          <w:ilvl w:val="0"/>
          <w:numId w:val="7"/>
        </w:numPr>
        <w:spacing w:after="204" w:line="240" w:lineRule="auto"/>
        <w:rPr>
          <w:rFonts w:ascii="Arial" w:eastAsia="Times New Roman" w:hAnsi="Arial" w:cs="Arial"/>
          <w:b/>
          <w:bCs/>
          <w:color w:val="FF0000"/>
          <w:sz w:val="21"/>
          <w:szCs w:val="21"/>
        </w:rPr>
      </w:pPr>
      <w:r w:rsidRPr="00A5168E">
        <w:rPr>
          <w:rFonts w:ascii="Arial" w:eastAsia="Times New Roman" w:hAnsi="Arial" w:cs="Arial"/>
          <w:b/>
          <w:bCs/>
          <w:color w:val="FF0000"/>
          <w:sz w:val="21"/>
          <w:szCs w:val="21"/>
        </w:rPr>
        <w:t>The correct answer is No.</w:t>
      </w:r>
    </w:p>
    <w:p w:rsidR="00A5168E" w:rsidRPr="00A5168E" w:rsidRDefault="00A5168E" w:rsidP="00A5168E">
      <w:pPr>
        <w:pStyle w:val="ListParagraph"/>
        <w:numPr>
          <w:ilvl w:val="0"/>
          <w:numId w:val="7"/>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regulatory definition of children depends both on the local laws and on the specific treatments or procedures that will be involved in the research. Because the location in which the research will be conducted allows 12-year-olds to consent to the treatment, the participants in this research are not considered children under the HHS regulations and can provide informed consent to participate in the study. While the regulations do not require the additional protections of </w:t>
      </w:r>
      <w:r w:rsidRPr="00A5168E">
        <w:rPr>
          <w:rFonts w:ascii="Arial" w:eastAsia="Times New Roman" w:hAnsi="Arial" w:cs="Arial"/>
          <w:b/>
          <w:bCs/>
          <w:i/>
          <w:iCs/>
          <w:color w:val="333333"/>
          <w:sz w:val="21"/>
          <w:szCs w:val="21"/>
        </w:rPr>
        <w:t>Subpart D</w:t>
      </w:r>
      <w:r w:rsidRPr="00A5168E">
        <w:rPr>
          <w:rFonts w:ascii="Arial" w:eastAsia="Times New Roman" w:hAnsi="Arial" w:cs="Arial"/>
          <w:color w:val="333333"/>
          <w:sz w:val="21"/>
          <w:szCs w:val="21"/>
        </w:rPr>
        <w:t> for children in this study, the IRB may require some additional protections if they feel that the adolescents who will be involved in the study are vulnerable.</w:t>
      </w:r>
    </w:p>
    <w:p w:rsidR="00A5168E" w:rsidRPr="00A5168E" w:rsidRDefault="00A5168E" w:rsidP="00A5168E">
      <w:pPr>
        <w:pStyle w:val="ListParagraph"/>
        <w:numPr>
          <w:ilvl w:val="0"/>
          <w:numId w:val="7"/>
        </w:numPr>
        <w:spacing w:before="300" w:after="120" w:line="240" w:lineRule="auto"/>
        <w:rPr>
          <w:rFonts w:ascii="Arial" w:eastAsia="Times New Roman" w:hAnsi="Arial" w:cs="Arial"/>
          <w:b/>
          <w:bCs/>
          <w:color w:val="1F78A5"/>
          <w:sz w:val="21"/>
          <w:szCs w:val="21"/>
          <w:u w:val="single"/>
        </w:rPr>
      </w:pPr>
      <w:r w:rsidRPr="00A5168E">
        <w:rPr>
          <w:rFonts w:ascii="Arial" w:eastAsia="Times New Roman" w:hAnsi="Arial" w:cs="Arial"/>
          <w:b/>
          <w:bCs/>
          <w:color w:val="1F78A5"/>
          <w:sz w:val="21"/>
          <w:szCs w:val="21"/>
          <w:u w:val="single"/>
        </w:rPr>
        <w:t>No, additional protections for participants in this study are not required under Subparts B, C or D</w:t>
      </w:r>
    </w:p>
    <w:p w:rsidR="00A5168E" w:rsidRPr="00A5168E" w:rsidRDefault="00A5168E" w:rsidP="00A5168E">
      <w:pPr>
        <w:pStyle w:val="ListParagraph"/>
        <w:numPr>
          <w:ilvl w:val="0"/>
          <w:numId w:val="7"/>
        </w:numPr>
        <w:spacing w:after="204" w:line="240" w:lineRule="auto"/>
        <w:rPr>
          <w:rFonts w:ascii="Arial" w:eastAsia="Times New Roman" w:hAnsi="Arial" w:cs="Arial"/>
          <w:b/>
          <w:bCs/>
          <w:color w:val="FF0000"/>
          <w:sz w:val="21"/>
          <w:szCs w:val="21"/>
        </w:rPr>
      </w:pPr>
      <w:r w:rsidRPr="00A5168E">
        <w:rPr>
          <w:rFonts w:ascii="Arial" w:eastAsia="Times New Roman" w:hAnsi="Arial" w:cs="Arial"/>
          <w:b/>
          <w:bCs/>
          <w:color w:val="FF0000"/>
          <w:sz w:val="21"/>
          <w:szCs w:val="21"/>
        </w:rPr>
        <w:t>Correct!</w:t>
      </w:r>
    </w:p>
    <w:p w:rsidR="00A5168E" w:rsidRPr="00A5168E" w:rsidRDefault="00A5168E" w:rsidP="00A5168E">
      <w:pPr>
        <w:pStyle w:val="ListParagraph"/>
        <w:numPr>
          <w:ilvl w:val="0"/>
          <w:numId w:val="7"/>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 xml:space="preserve">The regulatory definition of children depends both on the local laws and on the specific treatments or procedures that will be involved in the research. Because the location in which the research will be conducted allows 12-year-olds to consent to the treatment, the participants in this research are not considered children under the HHS regulations and can </w:t>
      </w:r>
      <w:r w:rsidRPr="00A5168E">
        <w:rPr>
          <w:rFonts w:ascii="Arial" w:eastAsia="Times New Roman" w:hAnsi="Arial" w:cs="Arial"/>
          <w:color w:val="333333"/>
          <w:sz w:val="21"/>
          <w:szCs w:val="21"/>
        </w:rPr>
        <w:lastRenderedPageBreak/>
        <w:t>provide informed consent to participate in the study. While the regulations do not require the additional protections of </w:t>
      </w:r>
      <w:r w:rsidRPr="00A5168E">
        <w:rPr>
          <w:rFonts w:ascii="Arial" w:eastAsia="Times New Roman" w:hAnsi="Arial" w:cs="Arial"/>
          <w:b/>
          <w:bCs/>
          <w:i/>
          <w:iCs/>
          <w:color w:val="333333"/>
          <w:sz w:val="21"/>
          <w:szCs w:val="21"/>
        </w:rPr>
        <w:t>Subpart D</w:t>
      </w:r>
      <w:r w:rsidRPr="00A5168E">
        <w:rPr>
          <w:rFonts w:ascii="Arial" w:eastAsia="Times New Roman" w:hAnsi="Arial" w:cs="Arial"/>
          <w:color w:val="333333"/>
          <w:sz w:val="21"/>
          <w:szCs w:val="21"/>
        </w:rPr>
        <w:t> for children in this study, the IRB may require some additional protections if they feel that the adolescents who will be involved in the study are vulnerable.</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HHS regulations (</w:t>
      </w:r>
      <w:hyperlink r:id="rId28" w:anchor="46.120" w:history="1">
        <w:r w:rsidRPr="00A5168E">
          <w:rPr>
            <w:rFonts w:ascii="Arial" w:eastAsia="Times New Roman" w:hAnsi="Arial" w:cs="Arial"/>
            <w:b/>
            <w:bCs/>
            <w:color w:val="006699"/>
            <w:sz w:val="21"/>
            <w:szCs w:val="21"/>
            <w:u w:val="single"/>
          </w:rPr>
          <w:t>45 CFR 46.120</w:t>
        </w:r>
      </w:hyperlink>
      <w:r w:rsidRPr="00A5168E">
        <w:rPr>
          <w:rFonts w:ascii="Arial" w:eastAsia="Times New Roman" w:hAnsi="Arial" w:cs="Arial"/>
          <w:color w:val="333333"/>
          <w:sz w:val="21"/>
          <w:szCs w:val="21"/>
        </w:rPr>
        <w:t>) require that Federal Departments and Agencies that conduct or support human subjects research must evaluate all applications for research using the following criteria:</w:t>
      </w:r>
    </w:p>
    <w:p w:rsidR="00A5168E" w:rsidRPr="00A5168E" w:rsidRDefault="00A5168E" w:rsidP="00A5168E">
      <w:pPr>
        <w:numPr>
          <w:ilvl w:val="0"/>
          <w:numId w:val="8"/>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Risks to the subjects</w:t>
      </w:r>
    </w:p>
    <w:p w:rsidR="00A5168E" w:rsidRPr="00A5168E" w:rsidRDefault="00A5168E" w:rsidP="00A5168E">
      <w:pPr>
        <w:numPr>
          <w:ilvl w:val="0"/>
          <w:numId w:val="8"/>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Adequacy of protection against these risks</w:t>
      </w:r>
    </w:p>
    <w:p w:rsidR="00A5168E" w:rsidRPr="00A5168E" w:rsidRDefault="00A5168E" w:rsidP="00A5168E">
      <w:pPr>
        <w:numPr>
          <w:ilvl w:val="0"/>
          <w:numId w:val="8"/>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Potential benefits of the research to the subjects and others</w:t>
      </w:r>
    </w:p>
    <w:p w:rsidR="00A5168E" w:rsidRPr="00A5168E" w:rsidRDefault="00A5168E" w:rsidP="00A5168E">
      <w:pPr>
        <w:numPr>
          <w:ilvl w:val="0"/>
          <w:numId w:val="8"/>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Importance of the knowledge gained or to be gained</w:t>
      </w:r>
    </w:p>
    <w:p w:rsidR="00A5168E" w:rsidRPr="00A5168E" w:rsidRDefault="00A5168E" w:rsidP="00A5168E">
      <w:pPr>
        <w:pStyle w:val="ListParagraph"/>
        <w:numPr>
          <w:ilvl w:val="0"/>
          <w:numId w:val="8"/>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When research covered by the HHS regulations takes place in countries other than the United States, the HHS regulations (</w:t>
      </w:r>
      <w:hyperlink r:id="rId29" w:anchor="46.101" w:history="1">
        <w:r w:rsidRPr="00A5168E">
          <w:rPr>
            <w:rFonts w:ascii="Arial" w:eastAsia="Times New Roman" w:hAnsi="Arial" w:cs="Arial"/>
            <w:b/>
            <w:bCs/>
            <w:color w:val="006699"/>
            <w:sz w:val="21"/>
            <w:szCs w:val="21"/>
            <w:u w:val="single"/>
          </w:rPr>
          <w:t>45 CFR 46.101(h)</w:t>
        </w:r>
      </w:hyperlink>
      <w:r w:rsidRPr="00A5168E">
        <w:rPr>
          <w:rFonts w:ascii="Arial" w:eastAsia="Times New Roman" w:hAnsi="Arial" w:cs="Arial"/>
          <w:color w:val="333333"/>
          <w:sz w:val="21"/>
          <w:szCs w:val="21"/>
        </w:rPr>
        <w:t>) allow a department or agency head to approve the substitution of alternative polices, codes, or regulations to protect human subjects in lieu of the requirements of 45 CFR 46 as long as the alternatives afford protections that are at least equivalent to those provided in 45 CFR 46.</w:t>
      </w:r>
    </w:p>
    <w:p w:rsidR="00A5168E" w:rsidRPr="00A5168E" w:rsidRDefault="00A5168E" w:rsidP="00A5168E">
      <w:pPr>
        <w:pStyle w:val="ListParagraph"/>
        <w:numPr>
          <w:ilvl w:val="0"/>
          <w:numId w:val="8"/>
        </w:numPr>
        <w:spacing w:after="0" w:line="240" w:lineRule="auto"/>
        <w:rPr>
          <w:rFonts w:ascii="Times New Roman" w:eastAsia="Times New Roman" w:hAnsi="Times New Roman" w:cs="Times New Roman"/>
          <w:sz w:val="24"/>
          <w:szCs w:val="24"/>
        </w:rPr>
      </w:pPr>
      <w:r w:rsidRPr="00A5168E">
        <w:rPr>
          <w:noProof/>
        </w:rPr>
        <w:drawing>
          <wp:inline distT="0" distB="0" distL="0" distR="0">
            <wp:extent cx="2228850" cy="1593850"/>
            <wp:effectExtent l="0" t="0" r="0" b="6350"/>
            <wp:docPr id="8" name="Picture 8" descr="Globe with text: Federalwide 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obe with text: Federalwide Assura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850" cy="1593850"/>
                    </a:xfrm>
                    <a:prstGeom prst="rect">
                      <a:avLst/>
                    </a:prstGeom>
                    <a:noFill/>
                    <a:ln>
                      <a:noFill/>
                    </a:ln>
                  </pic:spPr>
                </pic:pic>
              </a:graphicData>
            </a:graphic>
          </wp:inline>
        </w:drawing>
      </w:r>
    </w:p>
    <w:p w:rsidR="00A5168E" w:rsidRPr="00A5168E" w:rsidRDefault="00A5168E" w:rsidP="00A5168E">
      <w:pPr>
        <w:pStyle w:val="ListParagraph"/>
        <w:numPr>
          <w:ilvl w:val="0"/>
          <w:numId w:val="8"/>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In a </w:t>
      </w:r>
      <w:hyperlink r:id="rId31" w:tgtFrame="externalLink" w:history="1">
        <w:r w:rsidRPr="00A5168E">
          <w:rPr>
            <w:rFonts w:ascii="Arial" w:eastAsia="Times New Roman" w:hAnsi="Arial" w:cs="Arial"/>
            <w:b/>
            <w:bCs/>
            <w:color w:val="006699"/>
            <w:sz w:val="21"/>
            <w:szCs w:val="21"/>
            <w:u w:val="single"/>
          </w:rPr>
          <w:t>Federal Register Notice</w:t>
        </w:r>
      </w:hyperlink>
      <w:r w:rsidRPr="00A5168E">
        <w:rPr>
          <w:rFonts w:ascii="Arial" w:eastAsia="Times New Roman" w:hAnsi="Arial" w:cs="Arial"/>
          <w:color w:val="333333"/>
          <w:sz w:val="21"/>
          <w:szCs w:val="21"/>
        </w:rPr>
        <w:t> on July 7, 2006, HHS clarified that the requirements of the HHS regulations (45 CFR 46) must be satisfied for all HHS-conducted or -supported research covered by the </w:t>
      </w:r>
      <w:hyperlink r:id="rId32" w:history="1">
        <w:r w:rsidRPr="00A5168E">
          <w:rPr>
            <w:rFonts w:ascii="Arial" w:eastAsia="Times New Roman" w:hAnsi="Arial" w:cs="Arial"/>
            <w:b/>
            <w:bCs/>
            <w:color w:val="006699"/>
            <w:sz w:val="21"/>
            <w:szCs w:val="21"/>
            <w:u w:val="single"/>
          </w:rPr>
          <w:t>Federalwide Assurance</w:t>
        </w:r>
      </w:hyperlink>
      <w:r w:rsidRPr="00A5168E">
        <w:rPr>
          <w:rFonts w:ascii="Arial" w:eastAsia="Times New Roman" w:hAnsi="Arial" w:cs="Arial"/>
          <w:color w:val="333333"/>
          <w:sz w:val="21"/>
          <w:szCs w:val="21"/>
        </w:rPr>
        <w:t>, regardless of whether the research is conducted domestically or internationally. As of the publication of that Notice, HHS had not deemed any other procedural standards equivalent to 45 CFR 46.</w:t>
      </w:r>
    </w:p>
    <w:p w:rsidR="00A5168E" w:rsidRPr="00A5168E" w:rsidRDefault="00A5168E" w:rsidP="00A5168E">
      <w:pPr>
        <w:spacing w:after="100" w:afterAutospacing="1" w:line="240" w:lineRule="auto"/>
        <w:outlineLvl w:val="1"/>
        <w:rPr>
          <w:rFonts w:ascii="Arial" w:eastAsia="Times New Roman" w:hAnsi="Arial" w:cs="Arial"/>
          <w:color w:val="FF0000"/>
          <w:sz w:val="36"/>
          <w:szCs w:val="36"/>
        </w:rPr>
      </w:pPr>
      <w:r w:rsidRPr="00A5168E">
        <w:rPr>
          <w:rFonts w:ascii="Arial" w:eastAsia="Times New Roman" w:hAnsi="Arial" w:cs="Arial"/>
          <w:color w:val="FF0000"/>
          <w:sz w:val="36"/>
          <w:szCs w:val="36"/>
        </w:rPr>
        <w:t>Engagement in Human Subjects Research</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Each institution that is engaged in NIH-funded human subjects research must:</w:t>
      </w:r>
    </w:p>
    <w:p w:rsidR="00A5168E" w:rsidRPr="00A5168E" w:rsidRDefault="00A5168E" w:rsidP="00A5168E">
      <w:pPr>
        <w:numPr>
          <w:ilvl w:val="0"/>
          <w:numId w:val="9"/>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Obtain or hold a current </w:t>
      </w:r>
      <w:hyperlink r:id="rId33" w:history="1">
        <w:r w:rsidRPr="00A5168E">
          <w:rPr>
            <w:rFonts w:ascii="Arial" w:eastAsia="Times New Roman" w:hAnsi="Arial" w:cs="Arial"/>
            <w:b/>
            <w:bCs/>
            <w:color w:val="006699"/>
            <w:sz w:val="21"/>
            <w:szCs w:val="21"/>
            <w:u w:val="single"/>
          </w:rPr>
          <w:t>Federalwide Assurance</w:t>
        </w:r>
      </w:hyperlink>
      <w:r w:rsidRPr="00A5168E">
        <w:rPr>
          <w:rFonts w:ascii="Arial" w:eastAsia="Times New Roman" w:hAnsi="Arial" w:cs="Arial"/>
          <w:color w:val="333333"/>
          <w:sz w:val="21"/>
          <w:szCs w:val="21"/>
        </w:rPr>
        <w:t> (FWA), assuring that an institution will comply with HHS regulatory requirements for the protection of human subjects (this is obtained from the HHS Office for Human Subjects Protections (OHRP)); and</w:t>
      </w:r>
    </w:p>
    <w:p w:rsidR="00A5168E" w:rsidRPr="00A5168E" w:rsidRDefault="00A5168E" w:rsidP="00A5168E">
      <w:pPr>
        <w:numPr>
          <w:ilvl w:val="0"/>
          <w:numId w:val="9"/>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Certify to NIH that grant applications and contract proposals describing research involving human subjects has been reviewed and approved by an Institutional Review Board (IRB) designated in the FWA, and will be subject to continuing review by an IRB.</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IRBs are committees that consist of 5 or more members with varying expertise and diversity that are responsible for reviewing and approving human subjects research activities on behalf of institutions.</w:t>
      </w:r>
    </w:p>
    <w:p w:rsidR="00A5168E" w:rsidRPr="00A5168E" w:rsidRDefault="00A5168E" w:rsidP="00A5168E">
      <w:p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Common Rule specifies:</w:t>
      </w:r>
    </w:p>
    <w:p w:rsidR="00A5168E" w:rsidRPr="00A5168E" w:rsidRDefault="00A5168E" w:rsidP="00A5168E">
      <w:pPr>
        <w:numPr>
          <w:ilvl w:val="0"/>
          <w:numId w:val="10"/>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IRB membership (</w:t>
      </w:r>
      <w:hyperlink r:id="rId34" w:anchor="46.107" w:history="1">
        <w:r w:rsidRPr="00A5168E">
          <w:rPr>
            <w:rFonts w:ascii="Arial" w:eastAsia="Times New Roman" w:hAnsi="Arial" w:cs="Arial"/>
            <w:b/>
            <w:bCs/>
            <w:color w:val="006699"/>
            <w:sz w:val="21"/>
            <w:szCs w:val="21"/>
            <w:u w:val="single"/>
          </w:rPr>
          <w:t>45 CFR 46.107</w:t>
        </w:r>
      </w:hyperlink>
      <w:r w:rsidRPr="00A5168E">
        <w:rPr>
          <w:rFonts w:ascii="Arial" w:eastAsia="Times New Roman" w:hAnsi="Arial" w:cs="Arial"/>
          <w:color w:val="333333"/>
          <w:sz w:val="21"/>
          <w:szCs w:val="21"/>
        </w:rPr>
        <w:t>)</w:t>
      </w:r>
    </w:p>
    <w:p w:rsidR="00A5168E" w:rsidRPr="00A5168E" w:rsidRDefault="00A5168E" w:rsidP="00A5168E">
      <w:pPr>
        <w:numPr>
          <w:ilvl w:val="0"/>
          <w:numId w:val="10"/>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lastRenderedPageBreak/>
        <w:t>IRB functions &amp; operations (</w:t>
      </w:r>
      <w:hyperlink r:id="rId35" w:anchor="46.108" w:history="1">
        <w:r w:rsidRPr="00A5168E">
          <w:rPr>
            <w:rFonts w:ascii="Arial" w:eastAsia="Times New Roman" w:hAnsi="Arial" w:cs="Arial"/>
            <w:b/>
            <w:bCs/>
            <w:color w:val="006699"/>
            <w:sz w:val="21"/>
            <w:szCs w:val="21"/>
            <w:u w:val="single"/>
          </w:rPr>
          <w:t>45 CFR 46.108</w:t>
        </w:r>
      </w:hyperlink>
      <w:r w:rsidRPr="00A5168E">
        <w:rPr>
          <w:rFonts w:ascii="Arial" w:eastAsia="Times New Roman" w:hAnsi="Arial" w:cs="Arial"/>
          <w:color w:val="333333"/>
          <w:sz w:val="21"/>
          <w:szCs w:val="21"/>
        </w:rPr>
        <w:t>)</w:t>
      </w:r>
    </w:p>
    <w:p w:rsidR="00A5168E" w:rsidRPr="00A5168E" w:rsidRDefault="00A5168E" w:rsidP="00A5168E">
      <w:pPr>
        <w:numPr>
          <w:ilvl w:val="0"/>
          <w:numId w:val="10"/>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IRB review of research (</w:t>
      </w:r>
      <w:hyperlink r:id="rId36" w:anchor="46.109" w:history="1">
        <w:r w:rsidRPr="00A5168E">
          <w:rPr>
            <w:rFonts w:ascii="Arial" w:eastAsia="Times New Roman" w:hAnsi="Arial" w:cs="Arial"/>
            <w:b/>
            <w:bCs/>
            <w:color w:val="006699"/>
            <w:sz w:val="21"/>
            <w:szCs w:val="21"/>
            <w:u w:val="single"/>
          </w:rPr>
          <w:t>45 CFR 46.109</w:t>
        </w:r>
      </w:hyperlink>
      <w:r w:rsidRPr="00A5168E">
        <w:rPr>
          <w:rFonts w:ascii="Arial" w:eastAsia="Times New Roman" w:hAnsi="Arial" w:cs="Arial"/>
          <w:color w:val="333333"/>
          <w:sz w:val="21"/>
          <w:szCs w:val="21"/>
        </w:rPr>
        <w:t> and </w:t>
      </w:r>
      <w:hyperlink r:id="rId37" w:anchor="46.110" w:history="1">
        <w:r w:rsidRPr="00A5168E">
          <w:rPr>
            <w:rFonts w:ascii="Arial" w:eastAsia="Times New Roman" w:hAnsi="Arial" w:cs="Arial"/>
            <w:b/>
            <w:bCs/>
            <w:color w:val="006699"/>
            <w:sz w:val="21"/>
            <w:szCs w:val="21"/>
            <w:u w:val="single"/>
          </w:rPr>
          <w:t>45 CFR 46.110</w:t>
        </w:r>
      </w:hyperlink>
      <w:r w:rsidRPr="00A5168E">
        <w:rPr>
          <w:rFonts w:ascii="Arial" w:eastAsia="Times New Roman" w:hAnsi="Arial" w:cs="Arial"/>
          <w:color w:val="333333"/>
          <w:sz w:val="21"/>
          <w:szCs w:val="21"/>
        </w:rPr>
        <w:t>)</w:t>
      </w:r>
    </w:p>
    <w:p w:rsidR="00A5168E" w:rsidRPr="00A5168E" w:rsidRDefault="00A5168E" w:rsidP="00A5168E">
      <w:pPr>
        <w:numPr>
          <w:ilvl w:val="0"/>
          <w:numId w:val="10"/>
        </w:numPr>
        <w:spacing w:after="120"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Criteria for IRB approval of research (</w:t>
      </w:r>
      <w:hyperlink r:id="rId38" w:anchor="46.111" w:history="1">
        <w:r w:rsidRPr="00A5168E">
          <w:rPr>
            <w:rFonts w:ascii="Arial" w:eastAsia="Times New Roman" w:hAnsi="Arial" w:cs="Arial"/>
            <w:b/>
            <w:bCs/>
            <w:color w:val="006699"/>
            <w:sz w:val="21"/>
            <w:szCs w:val="21"/>
            <w:u w:val="single"/>
          </w:rPr>
          <w:t>45 CFR 46.111</w:t>
        </w:r>
      </w:hyperlink>
      <w:r w:rsidRPr="00A5168E">
        <w:rPr>
          <w:rFonts w:ascii="Arial" w:eastAsia="Times New Roman" w:hAnsi="Arial" w:cs="Arial"/>
          <w:color w:val="333333"/>
          <w:sz w:val="21"/>
          <w:szCs w:val="21"/>
        </w:rPr>
        <w:t>)</w:t>
      </w:r>
    </w:p>
    <w:p w:rsidR="00A5168E" w:rsidRPr="00A5168E" w:rsidRDefault="00A5168E" w:rsidP="00A5168E">
      <w:pPr>
        <w:pStyle w:val="ListParagraph"/>
        <w:numPr>
          <w:ilvl w:val="0"/>
          <w:numId w:val="10"/>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HHS regulations describe categories of human subjects research that may be exempt from requirements described in the HHS regulations including IRB oversight.</w:t>
      </w:r>
    </w:p>
    <w:p w:rsidR="00A5168E" w:rsidRPr="00A5168E" w:rsidRDefault="00A5168E" w:rsidP="00A5168E">
      <w:pPr>
        <w:pStyle w:val="ListParagraph"/>
        <w:numPr>
          <w:ilvl w:val="0"/>
          <w:numId w:val="10"/>
        </w:numPr>
        <w:spacing w:after="0" w:line="240" w:lineRule="auto"/>
        <w:rPr>
          <w:rFonts w:ascii="Times New Roman" w:eastAsia="Times New Roman" w:hAnsi="Times New Roman" w:cs="Times New Roman"/>
          <w:sz w:val="24"/>
          <w:szCs w:val="24"/>
        </w:rPr>
      </w:pPr>
      <w:r w:rsidRPr="00A5168E">
        <w:rPr>
          <w:noProof/>
        </w:rPr>
        <w:drawing>
          <wp:inline distT="0" distB="0" distL="0" distR="0">
            <wp:extent cx="1752600" cy="2000250"/>
            <wp:effectExtent l="0" t="0" r="0" b="0"/>
            <wp:docPr id="9" name="Picture 9" descr="Paper posted as a notice titled with text: HHS Regulations, Exem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per posted as a notice titled with text: HHS Regulations, Exemp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2000250"/>
                    </a:xfrm>
                    <a:prstGeom prst="rect">
                      <a:avLst/>
                    </a:prstGeom>
                    <a:noFill/>
                    <a:ln>
                      <a:noFill/>
                    </a:ln>
                  </pic:spPr>
                </pic:pic>
              </a:graphicData>
            </a:graphic>
          </wp:inline>
        </w:drawing>
      </w:r>
    </w:p>
    <w:p w:rsidR="00A5168E" w:rsidRPr="00A5168E" w:rsidRDefault="00A5168E" w:rsidP="00A5168E">
      <w:pPr>
        <w:pStyle w:val="ListParagraph"/>
        <w:numPr>
          <w:ilvl w:val="0"/>
          <w:numId w:val="10"/>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Studies proposing only research that falls under one or more of the exempt categories of research do not require IRB review and approval, but the HHS Office for Human Research Protections (OHRP) has stated that: “</w:t>
      </w:r>
      <w:hyperlink r:id="rId40" w:history="1">
        <w:r w:rsidRPr="00A5168E">
          <w:rPr>
            <w:rFonts w:ascii="Arial" w:eastAsia="Times New Roman" w:hAnsi="Arial" w:cs="Arial"/>
            <w:b/>
            <w:bCs/>
            <w:color w:val="006699"/>
            <w:sz w:val="21"/>
            <w:szCs w:val="21"/>
            <w:u w:val="single"/>
          </w:rPr>
          <w:t>Institutions should have a clear policy in place on who shall determine what research is exempt under 46.101(b)</w:t>
        </w:r>
      </w:hyperlink>
      <w:r w:rsidRPr="00A5168E">
        <w:rPr>
          <w:rFonts w:ascii="Arial" w:eastAsia="Times New Roman" w:hAnsi="Arial" w:cs="Arial"/>
          <w:color w:val="333333"/>
          <w:sz w:val="21"/>
          <w:szCs w:val="21"/>
        </w:rPr>
        <w:t>” and that </w:t>
      </w:r>
      <w:hyperlink r:id="rId41" w:anchor="investigator" w:history="1">
        <w:r w:rsidRPr="00A5168E">
          <w:rPr>
            <w:rFonts w:ascii="Arial" w:eastAsia="Times New Roman" w:hAnsi="Arial" w:cs="Arial"/>
            <w:b/>
            <w:bCs/>
            <w:i/>
            <w:iCs/>
            <w:color w:val="990033"/>
            <w:sz w:val="21"/>
            <w:szCs w:val="21"/>
          </w:rPr>
          <w:t>investigators</w:t>
        </w:r>
      </w:hyperlink>
      <w:r w:rsidRPr="00A5168E">
        <w:rPr>
          <w:rFonts w:ascii="Arial" w:eastAsia="Times New Roman" w:hAnsi="Arial" w:cs="Arial"/>
          <w:color w:val="333333"/>
          <w:sz w:val="21"/>
          <w:szCs w:val="21"/>
        </w:rPr>
        <w:t> should not be able to determine whether or not their own research is exempt. This authority should rest with the IRB or other entity designated by the institution.</w:t>
      </w:r>
    </w:p>
    <w:p w:rsidR="00A5168E" w:rsidRPr="00A5168E" w:rsidRDefault="00A5168E" w:rsidP="00A5168E">
      <w:pPr>
        <w:pStyle w:val="ListParagraph"/>
        <w:numPr>
          <w:ilvl w:val="0"/>
          <w:numId w:val="10"/>
        </w:numPr>
        <w:spacing w:after="204" w:line="240" w:lineRule="auto"/>
        <w:rPr>
          <w:rFonts w:ascii="Arial" w:eastAsia="Times New Roman" w:hAnsi="Arial" w:cs="Arial"/>
          <w:color w:val="333333"/>
          <w:sz w:val="21"/>
          <w:szCs w:val="21"/>
        </w:rPr>
      </w:pPr>
      <w:r w:rsidRPr="00A5168E">
        <w:rPr>
          <w:rFonts w:ascii="Arial" w:eastAsia="Times New Roman" w:hAnsi="Arial" w:cs="Arial"/>
          <w:color w:val="333333"/>
          <w:sz w:val="21"/>
          <w:szCs w:val="21"/>
        </w:rPr>
        <w:t>The exemptions can be found at </w:t>
      </w:r>
      <w:hyperlink r:id="rId42" w:anchor="46.101" w:history="1">
        <w:r w:rsidRPr="00A5168E">
          <w:rPr>
            <w:rFonts w:ascii="Arial" w:eastAsia="Times New Roman" w:hAnsi="Arial" w:cs="Arial"/>
            <w:b/>
            <w:bCs/>
            <w:color w:val="006699"/>
            <w:sz w:val="21"/>
            <w:szCs w:val="21"/>
            <w:u w:val="single"/>
          </w:rPr>
          <w:t>45 CFR 46.101(b)</w:t>
        </w:r>
      </w:hyperlink>
      <w:r w:rsidRPr="00A5168E">
        <w:rPr>
          <w:rFonts w:ascii="Arial" w:eastAsia="Times New Roman" w:hAnsi="Arial" w:cs="Arial"/>
          <w:color w:val="333333"/>
          <w:sz w:val="21"/>
          <w:szCs w:val="21"/>
        </w:rPr>
        <w:t>.</w:t>
      </w:r>
    </w:p>
    <w:p w:rsidR="00A5168E" w:rsidRDefault="00A5168E"/>
    <w:sectPr w:rsidR="00A5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3902"/>
    <w:multiLevelType w:val="multilevel"/>
    <w:tmpl w:val="81588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26AB8"/>
    <w:multiLevelType w:val="multilevel"/>
    <w:tmpl w:val="DDEC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B3EC1"/>
    <w:multiLevelType w:val="multilevel"/>
    <w:tmpl w:val="4C828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1D00"/>
    <w:multiLevelType w:val="multilevel"/>
    <w:tmpl w:val="82CE9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75C75"/>
    <w:multiLevelType w:val="multilevel"/>
    <w:tmpl w:val="630E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93157"/>
    <w:multiLevelType w:val="multilevel"/>
    <w:tmpl w:val="1A1E61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116B9"/>
    <w:multiLevelType w:val="multilevel"/>
    <w:tmpl w:val="BA362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80C93"/>
    <w:multiLevelType w:val="multilevel"/>
    <w:tmpl w:val="116A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35C0E"/>
    <w:multiLevelType w:val="multilevel"/>
    <w:tmpl w:val="A43E8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52870"/>
    <w:multiLevelType w:val="multilevel"/>
    <w:tmpl w:val="0CDE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7"/>
  </w:num>
  <w:num w:numId="6">
    <w:abstractNumId w:val="9"/>
  </w:num>
  <w:num w:numId="7">
    <w:abstractNumId w:val="6"/>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8E"/>
    <w:rsid w:val="007E28EB"/>
    <w:rsid w:val="00A5168E"/>
    <w:rsid w:val="00D3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97F9D-C77C-4748-8955-E7AE6EEE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1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6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1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168E"/>
  </w:style>
  <w:style w:type="character" w:styleId="Hyperlink">
    <w:name w:val="Hyperlink"/>
    <w:basedOn w:val="DefaultParagraphFont"/>
    <w:uiPriority w:val="99"/>
    <w:semiHidden/>
    <w:unhideWhenUsed/>
    <w:rsid w:val="00A5168E"/>
    <w:rPr>
      <w:color w:val="0000FF"/>
      <w:u w:val="single"/>
    </w:rPr>
  </w:style>
  <w:style w:type="character" w:styleId="Strong">
    <w:name w:val="Strong"/>
    <w:basedOn w:val="DefaultParagraphFont"/>
    <w:uiPriority w:val="22"/>
    <w:qFormat/>
    <w:rsid w:val="00A5168E"/>
    <w:rPr>
      <w:b/>
      <w:bCs/>
    </w:rPr>
  </w:style>
  <w:style w:type="character" w:styleId="Emphasis">
    <w:name w:val="Emphasis"/>
    <w:basedOn w:val="DefaultParagraphFont"/>
    <w:uiPriority w:val="20"/>
    <w:qFormat/>
    <w:rsid w:val="00A5168E"/>
    <w:rPr>
      <w:i/>
      <w:iCs/>
    </w:rPr>
  </w:style>
  <w:style w:type="character" w:customStyle="1" w:styleId="casequestion">
    <w:name w:val="casequestion"/>
    <w:basedOn w:val="DefaultParagraphFont"/>
    <w:rsid w:val="00A5168E"/>
  </w:style>
  <w:style w:type="paragraph" w:customStyle="1" w:styleId="casequestion1">
    <w:name w:val="casequestion1"/>
    <w:basedOn w:val="Normal"/>
    <w:rsid w:val="00A516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answer">
    <w:name w:val="caseanswer"/>
    <w:basedOn w:val="Normal"/>
    <w:rsid w:val="00A516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1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4238">
      <w:bodyDiv w:val="1"/>
      <w:marLeft w:val="0"/>
      <w:marRight w:val="0"/>
      <w:marTop w:val="0"/>
      <w:marBottom w:val="0"/>
      <w:divBdr>
        <w:top w:val="none" w:sz="0" w:space="0" w:color="auto"/>
        <w:left w:val="none" w:sz="0" w:space="0" w:color="auto"/>
        <w:bottom w:val="none" w:sz="0" w:space="0" w:color="auto"/>
        <w:right w:val="none" w:sz="0" w:space="0" w:color="auto"/>
      </w:divBdr>
    </w:div>
    <w:div w:id="329261276">
      <w:bodyDiv w:val="1"/>
      <w:marLeft w:val="0"/>
      <w:marRight w:val="0"/>
      <w:marTop w:val="0"/>
      <w:marBottom w:val="0"/>
      <w:divBdr>
        <w:top w:val="none" w:sz="0" w:space="0" w:color="auto"/>
        <w:left w:val="none" w:sz="0" w:space="0" w:color="auto"/>
        <w:bottom w:val="none" w:sz="0" w:space="0" w:color="auto"/>
        <w:right w:val="none" w:sz="0" w:space="0" w:color="auto"/>
      </w:divBdr>
      <w:divsChild>
        <w:div w:id="61876717">
          <w:marLeft w:val="0"/>
          <w:marRight w:val="0"/>
          <w:marTop w:val="0"/>
          <w:marBottom w:val="0"/>
          <w:divBdr>
            <w:top w:val="none" w:sz="0" w:space="0" w:color="auto"/>
            <w:left w:val="none" w:sz="0" w:space="0" w:color="auto"/>
            <w:bottom w:val="none" w:sz="0" w:space="0" w:color="auto"/>
            <w:right w:val="none" w:sz="0" w:space="0" w:color="auto"/>
          </w:divBdr>
        </w:div>
        <w:div w:id="1551066059">
          <w:marLeft w:val="0"/>
          <w:marRight w:val="0"/>
          <w:marTop w:val="0"/>
          <w:marBottom w:val="0"/>
          <w:divBdr>
            <w:top w:val="none" w:sz="0" w:space="0" w:color="auto"/>
            <w:left w:val="none" w:sz="0" w:space="0" w:color="auto"/>
            <w:bottom w:val="none" w:sz="0" w:space="0" w:color="auto"/>
            <w:right w:val="none" w:sz="0" w:space="0" w:color="auto"/>
          </w:divBdr>
        </w:div>
      </w:divsChild>
    </w:div>
    <w:div w:id="364871175">
      <w:bodyDiv w:val="1"/>
      <w:marLeft w:val="0"/>
      <w:marRight w:val="0"/>
      <w:marTop w:val="0"/>
      <w:marBottom w:val="0"/>
      <w:divBdr>
        <w:top w:val="none" w:sz="0" w:space="0" w:color="auto"/>
        <w:left w:val="none" w:sz="0" w:space="0" w:color="auto"/>
        <w:bottom w:val="none" w:sz="0" w:space="0" w:color="auto"/>
        <w:right w:val="none" w:sz="0" w:space="0" w:color="auto"/>
      </w:divBdr>
    </w:div>
    <w:div w:id="459735485">
      <w:bodyDiv w:val="1"/>
      <w:marLeft w:val="0"/>
      <w:marRight w:val="0"/>
      <w:marTop w:val="0"/>
      <w:marBottom w:val="0"/>
      <w:divBdr>
        <w:top w:val="none" w:sz="0" w:space="0" w:color="auto"/>
        <w:left w:val="none" w:sz="0" w:space="0" w:color="auto"/>
        <w:bottom w:val="none" w:sz="0" w:space="0" w:color="auto"/>
        <w:right w:val="none" w:sz="0" w:space="0" w:color="auto"/>
      </w:divBdr>
    </w:div>
    <w:div w:id="501119395">
      <w:bodyDiv w:val="1"/>
      <w:marLeft w:val="0"/>
      <w:marRight w:val="0"/>
      <w:marTop w:val="0"/>
      <w:marBottom w:val="0"/>
      <w:divBdr>
        <w:top w:val="none" w:sz="0" w:space="0" w:color="auto"/>
        <w:left w:val="none" w:sz="0" w:space="0" w:color="auto"/>
        <w:bottom w:val="none" w:sz="0" w:space="0" w:color="auto"/>
        <w:right w:val="none" w:sz="0" w:space="0" w:color="auto"/>
      </w:divBdr>
    </w:div>
    <w:div w:id="640892579">
      <w:bodyDiv w:val="1"/>
      <w:marLeft w:val="0"/>
      <w:marRight w:val="0"/>
      <w:marTop w:val="0"/>
      <w:marBottom w:val="0"/>
      <w:divBdr>
        <w:top w:val="none" w:sz="0" w:space="0" w:color="auto"/>
        <w:left w:val="none" w:sz="0" w:space="0" w:color="auto"/>
        <w:bottom w:val="none" w:sz="0" w:space="0" w:color="auto"/>
        <w:right w:val="none" w:sz="0" w:space="0" w:color="auto"/>
      </w:divBdr>
    </w:div>
    <w:div w:id="761073288">
      <w:bodyDiv w:val="1"/>
      <w:marLeft w:val="0"/>
      <w:marRight w:val="0"/>
      <w:marTop w:val="0"/>
      <w:marBottom w:val="0"/>
      <w:divBdr>
        <w:top w:val="none" w:sz="0" w:space="0" w:color="auto"/>
        <w:left w:val="none" w:sz="0" w:space="0" w:color="auto"/>
        <w:bottom w:val="none" w:sz="0" w:space="0" w:color="auto"/>
        <w:right w:val="none" w:sz="0" w:space="0" w:color="auto"/>
      </w:divBdr>
    </w:div>
    <w:div w:id="1513300595">
      <w:bodyDiv w:val="1"/>
      <w:marLeft w:val="0"/>
      <w:marRight w:val="0"/>
      <w:marTop w:val="0"/>
      <w:marBottom w:val="0"/>
      <w:divBdr>
        <w:top w:val="none" w:sz="0" w:space="0" w:color="auto"/>
        <w:left w:val="none" w:sz="0" w:space="0" w:color="auto"/>
        <w:bottom w:val="none" w:sz="0" w:space="0" w:color="auto"/>
        <w:right w:val="none" w:sz="0" w:space="0" w:color="auto"/>
      </w:divBdr>
    </w:div>
    <w:div w:id="1763914831">
      <w:bodyDiv w:val="1"/>
      <w:marLeft w:val="0"/>
      <w:marRight w:val="0"/>
      <w:marTop w:val="0"/>
      <w:marBottom w:val="0"/>
      <w:divBdr>
        <w:top w:val="none" w:sz="0" w:space="0" w:color="auto"/>
        <w:left w:val="none" w:sz="0" w:space="0" w:color="auto"/>
        <w:bottom w:val="none" w:sz="0" w:space="0" w:color="auto"/>
        <w:right w:val="none" w:sz="0" w:space="0" w:color="auto"/>
      </w:divBdr>
    </w:div>
    <w:div w:id="1818649848">
      <w:bodyDiv w:val="1"/>
      <w:marLeft w:val="0"/>
      <w:marRight w:val="0"/>
      <w:marTop w:val="0"/>
      <w:marBottom w:val="0"/>
      <w:divBdr>
        <w:top w:val="none" w:sz="0" w:space="0" w:color="auto"/>
        <w:left w:val="none" w:sz="0" w:space="0" w:color="auto"/>
        <w:bottom w:val="none" w:sz="0" w:space="0" w:color="auto"/>
        <w:right w:val="none" w:sz="0" w:space="0" w:color="auto"/>
      </w:divBdr>
    </w:div>
    <w:div w:id="1915047445">
      <w:bodyDiv w:val="1"/>
      <w:marLeft w:val="0"/>
      <w:marRight w:val="0"/>
      <w:marTop w:val="0"/>
      <w:marBottom w:val="0"/>
      <w:divBdr>
        <w:top w:val="none" w:sz="0" w:space="0" w:color="auto"/>
        <w:left w:val="none" w:sz="0" w:space="0" w:color="auto"/>
        <w:bottom w:val="none" w:sz="0" w:space="0" w:color="auto"/>
        <w:right w:val="none" w:sz="0" w:space="0" w:color="auto"/>
      </w:divBdr>
    </w:div>
    <w:div w:id="1918634072">
      <w:bodyDiv w:val="1"/>
      <w:marLeft w:val="0"/>
      <w:marRight w:val="0"/>
      <w:marTop w:val="0"/>
      <w:marBottom w:val="0"/>
      <w:divBdr>
        <w:top w:val="none" w:sz="0" w:space="0" w:color="auto"/>
        <w:left w:val="none" w:sz="0" w:space="0" w:color="auto"/>
        <w:bottom w:val="none" w:sz="0" w:space="0" w:color="auto"/>
        <w:right w:val="none" w:sz="0" w:space="0" w:color="auto"/>
      </w:divBdr>
    </w:div>
    <w:div w:id="199695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rp.nihtraining.com/glossary.php" TargetMode="External"/><Relationship Id="rId13" Type="http://schemas.openxmlformats.org/officeDocument/2006/relationships/hyperlink" Target="https://phrp.nihtraining.com/glossary.php" TargetMode="External"/><Relationship Id="rId18" Type="http://schemas.openxmlformats.org/officeDocument/2006/relationships/hyperlink" Target="https://phrp.nihtraining.com/glossary.php" TargetMode="External"/><Relationship Id="rId26" Type="http://schemas.openxmlformats.org/officeDocument/2006/relationships/hyperlink" Target="https://phrp.nihtraining.com/glossary.php" TargetMode="External"/><Relationship Id="rId39"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www.hhs.gov/ohrp/humansubjects/guidance/45cfr46.html" TargetMode="External"/><Relationship Id="rId34" Type="http://schemas.openxmlformats.org/officeDocument/2006/relationships/hyperlink" Target="http://www.hhs.gov/ohrp/humansubjects/guidance/45cfr46.html" TargetMode="External"/><Relationship Id="rId42" Type="http://schemas.openxmlformats.org/officeDocument/2006/relationships/hyperlink" Target="http://www.hhs.gov/ohrp/humansubjects/guidance/45cfr46.html"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www.hhs.gov/ohrp/humansubjects/guidance/45cfr46.html" TargetMode="External"/><Relationship Id="rId25" Type="http://schemas.openxmlformats.org/officeDocument/2006/relationships/hyperlink" Target="http://www.hhs.gov/ohrp/humansubjects/guidance/45cfr46.html" TargetMode="External"/><Relationship Id="rId33" Type="http://schemas.openxmlformats.org/officeDocument/2006/relationships/hyperlink" Target="http://www.hhs.gov/ohrp/assurances/assurances/index.html" TargetMode="External"/><Relationship Id="rId38" Type="http://schemas.openxmlformats.org/officeDocument/2006/relationships/hyperlink" Target="http://www.hhs.gov/ohrp/humansubjects/guidance/45cfr46.html" TargetMode="External"/><Relationship Id="rId2" Type="http://schemas.openxmlformats.org/officeDocument/2006/relationships/styles" Target="styles.xml"/><Relationship Id="rId16" Type="http://schemas.openxmlformats.org/officeDocument/2006/relationships/hyperlink" Target="http://www.hhs.gov/ohrp/humansubjects/guidance/45cfr46.html" TargetMode="External"/><Relationship Id="rId20" Type="http://schemas.openxmlformats.org/officeDocument/2006/relationships/hyperlink" Target="https://phrp.nihtraining.com/glossary.php" TargetMode="External"/><Relationship Id="rId29" Type="http://schemas.openxmlformats.org/officeDocument/2006/relationships/hyperlink" Target="http://www.hhs.gov/ohrp/humansubjects/guidance/45cfr46.html" TargetMode="External"/><Relationship Id="rId41" Type="http://schemas.openxmlformats.org/officeDocument/2006/relationships/hyperlink" Target="https://phrp.nihtraining.com/glossary.php" TargetMode="External"/><Relationship Id="rId1" Type="http://schemas.openxmlformats.org/officeDocument/2006/relationships/numbering" Target="numbering.xml"/><Relationship Id="rId6" Type="http://schemas.openxmlformats.org/officeDocument/2006/relationships/hyperlink" Target="http://www.hhs.gov/ohrp/humansubjects/guidance/belmont.html" TargetMode="External"/><Relationship Id="rId11" Type="http://schemas.openxmlformats.org/officeDocument/2006/relationships/image" Target="media/image3.jpeg"/><Relationship Id="rId24" Type="http://schemas.openxmlformats.org/officeDocument/2006/relationships/hyperlink" Target="http://www.hhs.gov/ohrp/humansubjects/guidance/45cfr46.html" TargetMode="External"/><Relationship Id="rId32" Type="http://schemas.openxmlformats.org/officeDocument/2006/relationships/hyperlink" Target="http://www.hhs.gov/ohrp/assurances/assurances/index.html" TargetMode="External"/><Relationship Id="rId37" Type="http://schemas.openxmlformats.org/officeDocument/2006/relationships/hyperlink" Target="http://www.hhs.gov/ohrp/humansubjects/guidance/45cfr46.html" TargetMode="External"/><Relationship Id="rId40" Type="http://schemas.openxmlformats.org/officeDocument/2006/relationships/hyperlink" Target="http://www.hhs.gov/ohrp/policy/hsdc95-02.html" TargetMode="External"/><Relationship Id="rId5" Type="http://schemas.openxmlformats.org/officeDocument/2006/relationships/image" Target="media/image1.jpeg"/><Relationship Id="rId15" Type="http://schemas.openxmlformats.org/officeDocument/2006/relationships/hyperlink" Target="http://www.hhs.gov/ohrp/humansubjects/guidance/45cfr46.html" TargetMode="External"/><Relationship Id="rId23" Type="http://schemas.openxmlformats.org/officeDocument/2006/relationships/hyperlink" Target="http://www.hhs.gov/ohrp/humansubjects/guidance/45cfr46.html" TargetMode="External"/><Relationship Id="rId28" Type="http://schemas.openxmlformats.org/officeDocument/2006/relationships/hyperlink" Target="http://www.hhs.gov/ohrp/humansubjects/guidance/45cfr46.html" TargetMode="External"/><Relationship Id="rId36" Type="http://schemas.openxmlformats.org/officeDocument/2006/relationships/hyperlink" Target="http://www.hhs.gov/ohrp/humansubjects/guidance/45cfr46.html" TargetMode="External"/><Relationship Id="rId10" Type="http://schemas.openxmlformats.org/officeDocument/2006/relationships/hyperlink" Target="https://phrp.nihtraining.com/glossary.php" TargetMode="External"/><Relationship Id="rId19" Type="http://schemas.openxmlformats.org/officeDocument/2006/relationships/hyperlink" Target="https://phrp.nihtraining.com/glossary.php" TargetMode="External"/><Relationship Id="rId31" Type="http://schemas.openxmlformats.org/officeDocument/2006/relationships/hyperlink" Target="http://edocket.access.gpo.gov/2006/E6-10511.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hrp.nihtraining.com/glossary.php" TargetMode="External"/><Relationship Id="rId14" Type="http://schemas.openxmlformats.org/officeDocument/2006/relationships/image" Target="media/image5.png"/><Relationship Id="rId22" Type="http://schemas.openxmlformats.org/officeDocument/2006/relationships/hyperlink" Target="https://phrp.nihtraining.com/glossary.php" TargetMode="External"/><Relationship Id="rId27" Type="http://schemas.openxmlformats.org/officeDocument/2006/relationships/image" Target="media/image6.jpeg"/><Relationship Id="rId30" Type="http://schemas.openxmlformats.org/officeDocument/2006/relationships/image" Target="media/image7.jpeg"/><Relationship Id="rId35" Type="http://schemas.openxmlformats.org/officeDocument/2006/relationships/hyperlink" Target="http://www.hhs.gov/ohrp/humansubjects/guidance/45cfr46.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2</cp:revision>
  <dcterms:created xsi:type="dcterms:W3CDTF">2016-04-08T20:42:00Z</dcterms:created>
  <dcterms:modified xsi:type="dcterms:W3CDTF">2016-04-08T20:56:00Z</dcterms:modified>
</cp:coreProperties>
</file>