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80"/>
        <w:jc w:val="center"/>
        <w:rPr/>
      </w:pPr>
      <w:r>
        <w:rPr>
          <w:rFonts w:eastAsia="Times New Roman"/>
          <w:b w:val="false"/>
          <w:sz w:val="28"/>
        </w:rPr>
        <w:t>Министерство науки и высшего образования Российской Федерации</w:t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Times New Roman"/>
          <w:b/>
          <w:sz w:val="28"/>
        </w:rPr>
        <w:t>ФЕДЕРАЛЬНОЕ ГОСУДАРСТВЕННОЕ АВТОНОМНОЕ</w:t>
      </w:r>
    </w:p>
    <w:p>
      <w:pPr>
        <w:pStyle w:val="Normal"/>
        <w:spacing w:lineRule="auto" w:line="360" w:before="0" w:after="160"/>
        <w:jc w:val="center"/>
        <w:rPr/>
      </w:pPr>
      <w:r>
        <w:rPr>
          <w:rFonts w:eastAsia="Times New Roman"/>
          <w:b/>
          <w:sz w:val="28"/>
        </w:rPr>
        <w:t>ОБРАЗОВАТЕЛЬНОЕ УЧРЕЖДЕНИЕ ВЫСШЕГО ОБРАЗОВАНИЯ</w:t>
      </w:r>
    </w:p>
    <w:p>
      <w:pPr>
        <w:pStyle w:val="Normal"/>
        <w:spacing w:lineRule="auto" w:line="360" w:before="0" w:after="40"/>
        <w:jc w:val="center"/>
        <w:rPr/>
      </w:pPr>
      <w:r>
        <w:rPr>
          <w:rFonts w:eastAsia="Times New Roman"/>
          <w:b/>
          <w:sz w:val="28"/>
        </w:rPr>
        <w:t>НАЦИОНАЛЬНЫЙ ИССЛЕДОВАТЕЛЬСКИЙ УНИВЕРСИТЕТ ИТМО</w:t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Times New Roman"/>
          <w:b/>
          <w:sz w:val="28"/>
        </w:rPr>
        <w:t>ИТМО University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360" w:before="0" w:after="80"/>
        <w:jc w:val="center"/>
        <w:rPr/>
      </w:pPr>
      <w:r>
        <w:rPr>
          <w:rFonts w:eastAsia="Times New Roman"/>
          <w:b/>
          <w:sz w:val="28"/>
        </w:rPr>
        <w:t>ЛАБОРАТОРНАЯ РАБОТА 1</w:t>
      </w:r>
    </w:p>
    <w:p>
      <w:pPr>
        <w:pStyle w:val="Normal"/>
        <w:spacing w:lineRule="auto" w:line="360" w:before="0" w:after="80"/>
        <w:jc w:val="center"/>
        <w:rPr/>
      </w:pPr>
      <w:r>
        <w:rPr>
          <w:rFonts w:eastAsia="Times New Roman"/>
          <w:b w:val="false"/>
          <w:sz w:val="28"/>
        </w:rPr>
        <w:t>По дисциплине «Виртуализация сетевых функций»</w:t>
      </w:r>
    </w:p>
    <w:p>
      <w:pPr>
        <w:pStyle w:val="Normal"/>
        <w:spacing w:lineRule="auto" w:line="360" w:before="0" w:after="360"/>
        <w:jc w:val="center"/>
        <w:rPr/>
      </w:pPr>
      <w:r>
        <w:rPr>
          <w:rFonts w:eastAsia="Times New Roman"/>
          <w:b w:val="false"/>
          <w:sz w:val="28"/>
        </w:rPr>
        <w:t>Тема работы: «Установка GNS3 и базовая настройка»</w:t>
      </w:r>
    </w:p>
    <w:tbl>
      <w:tblPr>
        <w:tblW w:w="968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44"/>
        <w:gridCol w:w="4843"/>
      </w:tblGrid>
      <w:tr>
        <w:trPr/>
        <w:tc>
          <w:tcPr>
            <w:tcW w:w="4844" w:type="dxa"/>
            <w:tcBorders/>
          </w:tcPr>
          <w:p>
            <w:pPr>
              <w:pStyle w:val="Normal"/>
              <w:spacing w:lineRule="auto" w:line="240"/>
              <w:ind w:hanging="0"/>
              <w:rPr/>
            </w:pPr>
            <w:r>
              <w:rPr>
                <w:rFonts w:eastAsia="Times New Roman"/>
                <w:b/>
                <w:sz w:val="28"/>
              </w:rPr>
              <w:t>Обучающийся</w:t>
            </w:r>
          </w:p>
        </w:tc>
        <w:tc>
          <w:tcPr>
            <w:tcW w:w="4843" w:type="dxa"/>
            <w:tcBorders/>
          </w:tcPr>
          <w:p>
            <w:pPr>
              <w:pStyle w:val="Normal"/>
              <w:spacing w:lineRule="auto" w:line="240"/>
              <w:ind w:hanging="0"/>
              <w:rPr/>
            </w:pPr>
            <w:r>
              <w:rPr>
                <w:rFonts w:eastAsia="Times New Roman"/>
                <w:b w:val="false"/>
                <w:sz w:val="28"/>
              </w:rPr>
              <w:t>Зюзин Владислав Александрович</w:t>
            </w:r>
          </w:p>
        </w:tc>
      </w:tr>
      <w:tr>
        <w:trPr/>
        <w:tc>
          <w:tcPr>
            <w:tcW w:w="4844" w:type="dxa"/>
            <w:tcBorders/>
          </w:tcPr>
          <w:p>
            <w:pPr>
              <w:pStyle w:val="Normal"/>
              <w:spacing w:lineRule="auto" w:line="240"/>
              <w:ind w:hanging="0"/>
              <w:rPr/>
            </w:pPr>
            <w:r>
              <w:rPr>
                <w:rFonts w:eastAsia="Times New Roman"/>
                <w:b/>
                <w:sz w:val="28"/>
              </w:rPr>
              <w:t>Факультет</w:t>
            </w:r>
          </w:p>
        </w:tc>
        <w:tc>
          <w:tcPr>
            <w:tcW w:w="4843" w:type="dxa"/>
            <w:tcBorders/>
          </w:tcPr>
          <w:p>
            <w:pPr>
              <w:pStyle w:val="Normal"/>
              <w:spacing w:lineRule="auto" w:line="240"/>
              <w:ind w:hanging="0"/>
              <w:rPr/>
            </w:pPr>
            <w:r>
              <w:rPr>
                <w:rFonts w:eastAsia="Times New Roman"/>
                <w:b w:val="false"/>
                <w:sz w:val="28"/>
              </w:rPr>
              <w:t>ФПИН</w:t>
            </w:r>
          </w:p>
        </w:tc>
      </w:tr>
      <w:tr>
        <w:trPr/>
        <w:tc>
          <w:tcPr>
            <w:tcW w:w="4844" w:type="dxa"/>
            <w:tcBorders/>
          </w:tcPr>
          <w:p>
            <w:pPr>
              <w:pStyle w:val="Normal"/>
              <w:spacing w:lineRule="auto" w:line="240"/>
              <w:ind w:hanging="0"/>
              <w:rPr/>
            </w:pPr>
            <w:r>
              <w:rPr>
                <w:rFonts w:eastAsia="Times New Roman"/>
                <w:b/>
                <w:sz w:val="28"/>
              </w:rPr>
              <w:t>Группа</w:t>
            </w:r>
          </w:p>
        </w:tc>
        <w:tc>
          <w:tcPr>
            <w:tcW w:w="4843" w:type="dxa"/>
            <w:tcBorders/>
          </w:tcPr>
          <w:p>
            <w:pPr>
              <w:pStyle w:val="Normal"/>
              <w:spacing w:lineRule="auto" w:line="240"/>
              <w:ind w:hanging="0"/>
              <w:rPr/>
            </w:pPr>
            <w:r>
              <w:rPr>
                <w:rFonts w:eastAsia="Times New Roman"/>
                <w:b w:val="false"/>
                <w:sz w:val="28"/>
              </w:rPr>
              <w:t>К3420</w:t>
            </w:r>
          </w:p>
        </w:tc>
      </w:tr>
      <w:tr>
        <w:trPr/>
        <w:tc>
          <w:tcPr>
            <w:tcW w:w="4844" w:type="dxa"/>
            <w:tcBorders/>
          </w:tcPr>
          <w:p>
            <w:pPr>
              <w:pStyle w:val="Normal"/>
              <w:spacing w:lineRule="auto" w:line="240"/>
              <w:ind w:hanging="0"/>
              <w:rPr/>
            </w:pPr>
            <w:r>
              <w:rPr>
                <w:rFonts w:eastAsia="Times New Roman"/>
                <w:b/>
                <w:sz w:val="28"/>
              </w:rPr>
              <w:t>Направление подготовки</w:t>
            </w:r>
          </w:p>
        </w:tc>
        <w:tc>
          <w:tcPr>
            <w:tcW w:w="4843" w:type="dxa"/>
            <w:tcBorders/>
          </w:tcPr>
          <w:p>
            <w:pPr>
              <w:pStyle w:val="Normal"/>
              <w:spacing w:lineRule="auto" w:line="240"/>
              <w:ind w:hanging="0"/>
              <w:rPr/>
            </w:pPr>
            <w:r>
              <w:rPr>
                <w:rFonts w:eastAsia="Times New Roman"/>
                <w:b w:val="false"/>
                <w:sz w:val="28"/>
              </w:rPr>
              <w:t>11.03.02</w:t>
            </w:r>
          </w:p>
        </w:tc>
      </w:tr>
      <w:tr>
        <w:trPr>
          <w:trHeight w:val="287" w:hRule="atLeast"/>
        </w:trPr>
        <w:tc>
          <w:tcPr>
            <w:tcW w:w="4844" w:type="dxa"/>
            <w:tcBorders/>
          </w:tcPr>
          <w:p>
            <w:pPr>
              <w:pStyle w:val="Normal"/>
              <w:spacing w:lineRule="auto" w:line="240"/>
              <w:ind w:hanging="0"/>
              <w:rPr/>
            </w:pPr>
            <w:r>
              <w:rPr>
                <w:rFonts w:eastAsia="Times New Roman"/>
                <w:b/>
                <w:sz w:val="28"/>
              </w:rPr>
              <w:t>Образовательная программа</w:t>
            </w:r>
          </w:p>
        </w:tc>
        <w:tc>
          <w:tcPr>
            <w:tcW w:w="4843" w:type="dxa"/>
            <w:tcBorders/>
          </w:tcPr>
          <w:p>
            <w:pPr>
              <w:pStyle w:val="Normal"/>
              <w:spacing w:lineRule="auto" w:line="240"/>
              <w:ind w:hanging="0"/>
              <w:rPr/>
            </w:pPr>
            <w:r>
              <w:rPr/>
              <w:t>Виртуализация сетевых функций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>
          <w:rFonts w:eastAsia="Times New Roman"/>
          <w:b w:val="false"/>
          <w:sz w:val="28"/>
        </w:rPr>
        <w:t xml:space="preserve">Обучающийся      ____________      ____________      </w:t>
        <w:tab/>
        <w:t xml:space="preserve">      </w:t>
      </w:r>
      <w:r>
        <w:rPr>
          <w:rFonts w:eastAsia="Times New Roman"/>
          <w:b w:val="false"/>
          <w:sz w:val="28"/>
        </w:rPr>
        <w:t>Зюзин В.А.</w:t>
      </w:r>
    </w:p>
    <w:p>
      <w:pPr>
        <w:pStyle w:val="Normal"/>
        <w:spacing w:lineRule="auto" w:line="360" w:before="0" w:after="0"/>
        <w:jc w:val="both"/>
        <w:rPr/>
      </w:pPr>
      <w:r>
        <w:rPr>
          <w:rFonts w:eastAsia="Times New Roman"/>
          <w:b w:val="false"/>
          <w:sz w:val="20"/>
        </w:rPr>
        <w:t xml:space="preserve">                                      </w:t>
      </w:r>
      <w:r>
        <w:rPr>
          <w:rFonts w:eastAsia="Times New Roman"/>
          <w:b w:val="false"/>
          <w:sz w:val="20"/>
        </w:rPr>
        <w:t xml:space="preserve">(дата)                 </w:t>
        <w:tab/>
        <w:t xml:space="preserve">     (подпись)                 </w:t>
        <w:tab/>
        <w:tab/>
        <w:t>(Ф.И.О.)</w:t>
      </w:r>
    </w:p>
    <w:p>
      <w:pPr>
        <w:pStyle w:val="Normal"/>
        <w:jc w:val="both"/>
        <w:rPr/>
      </w:pPr>
      <w:r>
        <w:rPr/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>
          <w:rFonts w:eastAsia="Times New Roman"/>
          <w:b w:val="false"/>
          <w:sz w:val="28"/>
        </w:rPr>
        <w:t>Руководитель       ____________      ____________              Аминов Н.С.</w:t>
      </w:r>
    </w:p>
    <w:p>
      <w:pPr>
        <w:pStyle w:val="Normal"/>
        <w:spacing w:lineRule="auto" w:line="360" w:before="0" w:after="0"/>
        <w:jc w:val="both"/>
        <w:rPr/>
      </w:pPr>
      <w:r>
        <w:rPr>
          <w:rFonts w:eastAsia="Times New Roman"/>
          <w:b w:val="false"/>
          <w:sz w:val="20"/>
        </w:rPr>
        <w:t xml:space="preserve">                                      </w:t>
      </w:r>
      <w:r>
        <w:rPr>
          <w:rFonts w:eastAsia="Times New Roman"/>
          <w:b w:val="false"/>
          <w:sz w:val="20"/>
        </w:rPr>
        <w:t xml:space="preserve">(дата)                 </w:t>
        <w:tab/>
      </w:r>
      <w:r>
        <w:rPr>
          <w:rFonts w:eastAsia="Times New Roman"/>
          <w:b w:val="false"/>
          <w:sz w:val="20"/>
        </w:rPr>
        <w:t xml:space="preserve">      </w:t>
      </w:r>
      <w:r>
        <w:rPr>
          <w:rFonts w:eastAsia="Times New Roman"/>
          <w:b w:val="false"/>
          <w:sz w:val="20"/>
        </w:rPr>
        <w:t xml:space="preserve">(подпись)                 </w:t>
        <w:tab/>
        <w:tab/>
        <w:t>(Ф.И.О.)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Times New Roman"/>
          <w:b w:val="false"/>
          <w:sz w:val="28"/>
        </w:rPr>
        <w:t>Санкт-Петербург 2026</w:t>
      </w:r>
    </w:p>
    <w:p>
      <w:pPr>
        <w:pStyle w:val="Normal"/>
        <w:ind w:hanging="0"/>
        <w:rPr>
          <w:rFonts w:ascii="Times New Roman" w:hAnsi="Times New Roman" w:eastAsia="Times New Roman"/>
          <w:b/>
          <w:sz w:val="28"/>
        </w:rPr>
      </w:pPr>
      <w:r>
        <w:rPr>
          <w:rFonts w:eastAsia="Times New Roman"/>
          <w:sz w:val="28"/>
        </w:rPr>
      </w:r>
      <w:r>
        <w:br w:type="page"/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Times New Roman"/>
          <w:b/>
          <w:sz w:val="28"/>
        </w:rPr>
        <w:t>ВВЕДЕНИЕ</w:t>
      </w:r>
    </w:p>
    <w:p>
      <w:pPr>
        <w:pStyle w:val="Normal"/>
        <w:rPr/>
      </w:pPr>
      <w:r>
        <w:rPr>
          <w:rFonts w:eastAsia="Times New Roman"/>
          <w:sz w:val="28"/>
        </w:rPr>
        <w:t>Цель данной лабораторной работы заключается в ознакомлении с виртуальным лабораторным стендом GNS3, установке и базовой настройке среды на рабочей станции под управлением Debian 13, а также в подготовке компонентов, необходимых для дальнейшего моделирования сетевой инфраструктуры.</w:t>
      </w:r>
    </w:p>
    <w:p>
      <w:pPr>
        <w:pStyle w:val="Normal"/>
        <w:rPr/>
      </w:pPr>
      <w:r>
        <w:rPr>
          <w:rFonts w:eastAsia="Times New Roman"/>
          <w:sz w:val="28"/>
        </w:rPr>
        <w:t>В ходе работы была настроена локальная установка GNS3 версии 2.2.61, проверена работа средств виртуализации QEMU и Dynamips, добавлен образ сетевой операционной системы SONiC в качестве QEMU-шаблона и установлен Virtual PC Simulator (VPCS). Для обеспечения сетевого взаимодействия узлов также был настроен uBridge. Работоспособность подготовленной среды проверена на тестовой топологии из двух VPCS.</w:t>
      </w:r>
    </w:p>
    <w:p>
      <w:pPr>
        <w:pStyle w:val="Heading1"/>
        <w:rPr/>
      </w:pPr>
      <w:r>
        <w:rPr/>
        <w:t>1 Установка GNS3 и базовая настройка</w:t>
      </w:r>
    </w:p>
    <w:p>
      <w:pPr>
        <w:pStyle w:val="Heading2"/>
        <w:rPr/>
      </w:pPr>
      <w:r>
        <w:rPr/>
        <w:t>1.1 Установка GNS3</w:t>
      </w:r>
    </w:p>
    <w:p>
      <w:pPr>
        <w:pStyle w:val="Normal"/>
        <w:rPr/>
      </w:pPr>
      <w:r>
        <w:rPr>
          <w:rFonts w:eastAsia="Times New Roman"/>
          <w:sz w:val="28"/>
        </w:rPr>
        <w:t>GNS3 была установлена на рабочую станцию под управлением Debian 13. Для установки использовался пакетный менеджер pipx, что позволило изолировать графический интерфейс и сервер GNS3 от системных Python-пакетов. В результате была установлена стабильная версия GNS3 2.2.61.</w:t>
      </w:r>
    </w:p>
    <w:tbl>
      <w:tblPr>
        <w:tblW w:w="968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89"/>
      </w:tblGrid>
      <w:tr>
        <w:trPr/>
        <w:tc>
          <w:tcPr>
            <w:tcW w:w="968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Times New Roman" w:hAnsi="Times New Roman" w:eastAsia="Times New Roman"/>
                <w:b w:val="false"/>
                <w:i/>
                <w:i/>
                <w:sz w:val="24"/>
              </w:rPr>
            </w:pPr>
            <w:r>
              <w:rPr/>
              <w:drawing>
                <wp:anchor behindDoc="0" distT="0" distB="0" distL="0" distR="0" simplePos="0" locked="0" layoutInCell="0" allowOverlap="1" relativeHeight="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15355" cy="3343275"/>
                  <wp:effectExtent l="0" t="0" r="0" b="0"/>
                  <wp:wrapSquare wrapText="largest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5355" cy="33432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lineRule="auto" w:line="240" w:before="80" w:after="160"/>
        <w:jc w:val="center"/>
        <w:rPr/>
      </w:pPr>
      <w:r>
        <w:rPr>
          <w:rFonts w:eastAsia="Times New Roman"/>
          <w:b w:val="false"/>
          <w:sz w:val="28"/>
        </w:rPr>
        <w:t>Рисунок 1 – Приветственное окно GNS3</w:t>
      </w:r>
    </w:p>
    <w:p>
      <w:pPr>
        <w:pStyle w:val="Heading2"/>
        <w:rPr/>
      </w:pPr>
      <w:r>
        <w:rPr/>
        <w:t>1.2 Настройка GNS3 и проверка работоспособности</w:t>
      </w:r>
    </w:p>
    <w:p>
      <w:pPr>
        <w:pStyle w:val="Normal"/>
        <w:rPr/>
      </w:pPr>
      <w:r>
        <w:rPr>
          <w:rFonts w:eastAsia="Times New Roman"/>
          <w:sz w:val="28"/>
        </w:rPr>
        <w:t>После запуска GNS3 была выполнена базовая настройка локального сервера. В качестве среды виртуализации использовался локальный сервер Debian без установки отдельной GNS3 VM. Для запуска виртуальных машин и образов сетевых операционных систем был настроен QEMU. Также был проверен эмулятор Dynamips, необходимый для работы с поддерживаемыми образами сетевых устройств.</w:t>
      </w:r>
    </w:p>
    <w:p>
      <w:pPr>
        <w:pStyle w:val="Normal"/>
        <w:rPr/>
      </w:pPr>
      <w:r>
        <w:rPr>
          <w:rFonts w:eastAsia="Times New Roman"/>
          <w:sz w:val="28"/>
        </w:rPr>
        <w:t>Для запуска SONiC и других QEMU-образов использовался установленный в системе QEMU. Работоспособность Dynamips проверялась в настройках GNS3 путём проверки доступности исполняемого файла и корректности заданного пути.</w:t>
      </w:r>
    </w:p>
    <w:tbl>
      <w:tblPr>
        <w:tblW w:w="968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89"/>
      </w:tblGrid>
      <w:tr>
        <w:trPr/>
        <w:tc>
          <w:tcPr>
            <w:tcW w:w="968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Times New Roman" w:hAnsi="Times New Roman" w:eastAsia="Times New Roman"/>
                <w:b w:val="false"/>
                <w:i/>
                <w:i/>
                <w:sz w:val="24"/>
              </w:rPr>
            </w:pPr>
            <w:r>
              <w:rPr/>
              <w:drawing>
                <wp:anchor behindDoc="0" distT="0" distB="0" distL="0" distR="0" simplePos="0" locked="0" layoutInCell="0" allowOverlap="1" relativeHeight="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15355" cy="4430395"/>
                  <wp:effectExtent l="0" t="0" r="0" b="0"/>
                  <wp:wrapSquare wrapText="largest"/>
                  <wp:docPr id="2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5355" cy="44303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lineRule="auto" w:line="240" w:before="80" w:after="160"/>
        <w:jc w:val="center"/>
        <w:rPr/>
      </w:pPr>
      <w:r>
        <w:rPr>
          <w:rFonts w:eastAsia="Times New Roman"/>
          <w:b w:val="false"/>
          <w:sz w:val="28"/>
        </w:rPr>
        <w:t>Рисунок 2 – Проверка доступности и работы Dynamips</w:t>
      </w:r>
    </w:p>
    <w:p>
      <w:pPr>
        <w:pStyle w:val="Heading2"/>
        <w:rPr/>
      </w:pPr>
      <w:r>
        <w:rPr/>
        <w:t>1.3 Добавление образов и базовых узлов</w:t>
      </w:r>
    </w:p>
    <w:p>
      <w:pPr>
        <w:pStyle w:val="Normal"/>
        <w:rPr/>
      </w:pPr>
      <w:r>
        <w:rPr>
          <w:rFonts w:eastAsia="Times New Roman"/>
          <w:sz w:val="28"/>
        </w:rPr>
        <w:t>Для подготовки рабочего стенда был добавлен образ SONiC. На его основе в GNS3 создан QEMU template, содержащий параметры виртуальной машины и указание на используемый дисковый образ. Настройка выполнялась через раздел Preferences → QEMU → QEMU VMs.</w:t>
      </w:r>
    </w:p>
    <w:tbl>
      <w:tblPr>
        <w:tblW w:w="968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89"/>
      </w:tblGrid>
      <w:tr>
        <w:trPr/>
        <w:tc>
          <w:tcPr>
            <w:tcW w:w="968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Times New Roman" w:hAnsi="Times New Roman" w:eastAsia="Times New Roman"/>
                <w:b w:val="false"/>
                <w:i/>
                <w:i/>
                <w:sz w:val="24"/>
              </w:rPr>
            </w:pPr>
            <w:r>
              <w:rPr/>
              <w:drawing>
                <wp:anchor behindDoc="0" distT="0" distB="0" distL="0" distR="0" simplePos="0" locked="0" layoutInCell="0" allowOverlap="1" relativeHeight="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15355" cy="4430395"/>
                  <wp:effectExtent l="0" t="0" r="0" b="0"/>
                  <wp:wrapSquare wrapText="largest"/>
                  <wp:docPr id="3" name="Image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5355" cy="44303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lineRule="auto" w:line="240" w:before="80" w:after="160"/>
        <w:jc w:val="center"/>
        <w:rPr/>
      </w:pPr>
      <w:r>
        <w:rPr>
          <w:rFonts w:eastAsia="Times New Roman"/>
          <w:b w:val="false"/>
          <w:sz w:val="28"/>
        </w:rPr>
        <w:t>Рисунок 3 – QEMU template с образом SONiC</w:t>
      </w:r>
    </w:p>
    <w:p>
      <w:pPr>
        <w:pStyle w:val="Normal"/>
        <w:rPr/>
      </w:pPr>
      <w:r>
        <w:rPr>
          <w:rFonts w:eastAsia="Times New Roman"/>
          <w:sz w:val="28"/>
        </w:rPr>
        <w:t>Кроме SONiC, был настроен VPCS — лёгкий виртуальный хост, предназначенный для проверки сетевой связности в лабораторных топологиях. Поскольку пакет VPCS из стандартного репозитория Debian не соответствовал требуемой версии, VPCS 0.6.2 был собран из исходного кода и установлен в /usr/local/bin/vpcs. Для корректной работы с современной версией GCC при сборке потребовались небольшие изменения исходного кода и использование опции -fcommon.</w:t>
      </w:r>
    </w:p>
    <w:tbl>
      <w:tblPr>
        <w:tblW w:w="968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89"/>
      </w:tblGrid>
      <w:tr>
        <w:trPr/>
        <w:tc>
          <w:tcPr>
            <w:tcW w:w="968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Times New Roman" w:hAnsi="Times New Roman" w:eastAsia="Times New Roman"/>
                <w:b w:val="false"/>
                <w:i/>
                <w:i/>
                <w:sz w:val="24"/>
              </w:rPr>
            </w:pPr>
            <w:r>
              <w:rPr/>
              <w:drawing>
                <wp:anchor behindDoc="0" distT="0" distB="0" distL="0" distR="0" simplePos="0" locked="0" layoutInCell="0" allowOverlap="1" relativeHeight="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15355" cy="4430395"/>
                  <wp:effectExtent l="0" t="0" r="0" b="0"/>
                  <wp:wrapSquare wrapText="largest"/>
                  <wp:docPr id="4" name="Image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5355" cy="44303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lineRule="auto" w:line="240" w:before="80" w:after="160"/>
        <w:jc w:val="center"/>
        <w:rPr/>
      </w:pPr>
      <w:r>
        <w:rPr>
          <w:rFonts w:eastAsia="Times New Roman"/>
          <w:b w:val="false"/>
          <w:sz w:val="28"/>
        </w:rPr>
        <w:t>Рисунок 4 – Проверка доступности и работы VPCS</w:t>
      </w:r>
    </w:p>
    <w:p>
      <w:pPr>
        <w:pStyle w:val="Normal"/>
        <w:rPr/>
      </w:pPr>
      <w:r>
        <w:rPr>
          <w:rFonts w:eastAsia="Times New Roman"/>
          <w:sz w:val="28"/>
        </w:rPr>
        <w:t>Для обеспечения сетевого взаимодействия узлов был также установлен и настроен uBridge. Путь к исполняемому файлу uBridge был указан в настройках локального сервера GNS3, после чего сетевые соединения между VPCS стали создаваться корректно.</w:t>
      </w:r>
    </w:p>
    <w:p>
      <w:pPr>
        <w:pStyle w:val="Heading2"/>
        <w:rPr/>
      </w:pPr>
      <w:r>
        <w:rPr/>
        <w:t>1.4 Тестовый проект</w:t>
      </w:r>
    </w:p>
    <w:p>
      <w:pPr>
        <w:pStyle w:val="Normal"/>
        <w:rPr/>
      </w:pPr>
      <w:r>
        <w:rPr>
          <w:rFonts w:eastAsia="Times New Roman"/>
          <w:sz w:val="28"/>
        </w:rPr>
        <w:t>Для проверки работоспособности подготовленной среды был создан тестовый проект GNS3. В проект добавлены два узла VPCS, соединённые через виртуальный Ethernet-коммутатор. После запуска устройств интерфейсы перешли в рабочее состояние, а между узлами установилось сетевое соединение.</w:t>
      </w:r>
    </w:p>
    <w:tbl>
      <w:tblPr>
        <w:tblW w:w="968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89"/>
      </w:tblGrid>
      <w:tr>
        <w:trPr/>
        <w:tc>
          <w:tcPr>
            <w:tcW w:w="968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Times New Roman" w:hAnsi="Times New Roman" w:eastAsia="Times New Roman"/>
                <w:b w:val="false"/>
                <w:i/>
                <w:i/>
                <w:sz w:val="24"/>
              </w:rPr>
            </w:pPr>
            <w:r>
              <w:rPr/>
              <w:drawing>
                <wp:anchor behindDoc="0" distT="0" distB="0" distL="0" distR="0" simplePos="0" locked="0" layoutInCell="0" allowOverlap="1" relativeHeight="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15355" cy="3749675"/>
                  <wp:effectExtent l="0" t="0" r="0" b="0"/>
                  <wp:wrapSquare wrapText="largest"/>
                  <wp:docPr id="5" name="Image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5355" cy="3749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lineRule="auto" w:line="240" w:before="80" w:after="160"/>
        <w:jc w:val="center"/>
        <w:rPr/>
      </w:pPr>
      <w:r>
        <w:rPr>
          <w:rFonts w:eastAsia="Times New Roman"/>
          <w:b w:val="false"/>
          <w:sz w:val="28"/>
        </w:rPr>
        <w:t>Рисунок 5 – Тестовая топология из двух VPCS, соединённых через Ethernet-коммутатор</w:t>
      </w:r>
    </w:p>
    <w:p>
      <w:pPr>
        <w:pStyle w:val="Normal"/>
        <w:rPr/>
      </w:pPr>
      <w:r>
        <w:rPr>
          <w:rFonts w:eastAsia="Times New Roman"/>
          <w:sz w:val="28"/>
        </w:rPr>
        <w:t>На первом виртуальном ПК был настроен IP-адрес 10.0.0.1/24, а на втором — 10.0.0.2/24. Для проверки сетевой связности с первого узла была выполнена команда ping 10.0.0.2. Получение ответов от второго узла подтвердило корректность адресации и работоспособность соединения между VPCS.</w:t>
      </w:r>
    </w:p>
    <w:tbl>
      <w:tblPr>
        <w:tblW w:w="968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89"/>
      </w:tblGrid>
      <w:tr>
        <w:trPr/>
        <w:tc>
          <w:tcPr>
            <w:tcW w:w="968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Times New Roman" w:hAnsi="Times New Roman" w:eastAsia="Times New Roman"/>
                <w:b w:val="false"/>
                <w:i/>
                <w:i/>
                <w:sz w:val="24"/>
              </w:rPr>
            </w:pPr>
            <w:r>
              <w:rPr/>
              <w:drawing>
                <wp:anchor behindDoc="0" distT="0" distB="0" distL="0" distR="0" simplePos="0" locked="0" layoutInCell="0" allowOverlap="1" relativeHeight="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15355" cy="3749675"/>
                  <wp:effectExtent l="0" t="0" r="0" b="0"/>
                  <wp:wrapSquare wrapText="largest"/>
                  <wp:docPr id="6" name="Image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5355" cy="3749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lineRule="auto" w:line="240" w:before="80" w:after="160"/>
        <w:jc w:val="center"/>
        <w:rPr/>
      </w:pPr>
      <w:r>
        <w:rPr>
          <w:rFonts w:eastAsia="Times New Roman"/>
          <w:b w:val="false"/>
          <w:sz w:val="28"/>
        </w:rPr>
        <w:t>Рисунок 6 – Назначение IP-адресов и проверка сетевой связности командой ping</w:t>
      </w:r>
    </w:p>
    <w:p>
      <w:pPr>
        <w:pStyle w:val="Normal"/>
        <w:spacing w:lineRule="auto" w:line="360" w:before="240" w:after="240"/>
        <w:jc w:val="center"/>
        <w:rPr/>
      </w:pPr>
      <w:r>
        <w:rPr>
          <w:rFonts w:eastAsia="Times New Roman"/>
          <w:b/>
          <w:sz w:val="28"/>
        </w:rPr>
        <w:t>ЗАКЛЮЧЕНИЕ</w:t>
      </w:r>
    </w:p>
    <w:p>
      <w:pPr>
        <w:pStyle w:val="Normal"/>
        <w:rPr/>
      </w:pPr>
      <w:r>
        <w:rPr>
          <w:rFonts w:eastAsia="Times New Roman"/>
          <w:sz w:val="28"/>
        </w:rPr>
        <w:t>В ходе выполнения лабораторной работы была подготовлена рабочая среда GNS3 на Debian 13. Установлена и проверена стабильная версия GNS3 2.2.61, настроены локальный сервер и средства виртуализации, включая QEMU и Dynamips. В среду добавлен QEMU-шаблон с образом SONiC и настроен VPCS для проведения сетевых экспериментов.</w:t>
      </w:r>
    </w:p>
    <w:p>
      <w:pPr>
        <w:pStyle w:val="Normal"/>
        <w:rPr/>
      </w:pPr>
      <w:r>
        <w:rPr>
          <w:rFonts w:eastAsia="Times New Roman"/>
          <w:sz w:val="28"/>
        </w:rPr>
        <w:t>Работоспособность подготовленного стенда подтверждена созданием тестовой топологии из двух VPCS, назначением IP-адресов и успешной проверкой сетевой связности с помощью команды ping. Таким образом, рабочее окружение готово для дальнейшего выполнения лабораторных работ по виртуализации сетевых функций.</w:t>
      </w:r>
    </w:p>
    <w:sectPr>
      <w:footerReference w:type="even" r:id="rId8"/>
      <w:footerReference w:type="default" r:id="rId9"/>
      <w:footerReference w:type="first" r:id="rId10"/>
      <w:type w:val="nextPage"/>
      <w:pgSz w:w="12240" w:h="15840"/>
      <w:pgMar w:left="1701" w:right="850" w:gutter="0" w:header="0" w:top="1134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" w:cstheme="minorBidi"/>
      <w:color w:val="auto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120" w:after="120"/>
      <w:ind w:hanging="0"/>
      <w:jc w:val="left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80" w:after="80"/>
      <w:ind w:hanging="0"/>
      <w:jc w:val="left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240"/>
      <w:contextualSpacing/>
      <w:jc w:val="center"/>
    </w:pPr>
    <w:rPr>
      <w:rFonts w:ascii="Calibri" w:hAnsi="Calibri" w:eastAsia="ＭＳ ゴシック" w:cs="" w:asciiTheme="majorHAnsi" w:cstheme="majorBidi" w:eastAsiaTheme="majorEastAsia" w:hAnsiTheme="majorHAnsi"/>
      <w:b/>
      <w:spacing w:val="5"/>
      <w:kern w:val="2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LibreOffice/25.2.3.2$Linux_X86_64 LibreOffice_project/520$Build-2</Application>
  <AppVersion>15.0000</AppVersion>
  <Pages>8</Pages>
  <Words>610</Words>
  <Characters>4223</Characters>
  <CharactersWithSpaces>4995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2026-09-29T10:06:29Z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