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Задание к отчёту № 5</w:t>
      </w:r>
    </w:p>
    <w:p>
      <w:pPr>
        <w:pStyle w:val="Subtitle"/>
      </w:pPr>
      <w:r>
        <w:t>Разведочный анализ и визуализация данных · практическое занятие · 90 минут</w:t>
      </w:r>
    </w:p>
    <w:p>
      <w:r>
        <w:rPr>
          <w:b/>
        </w:rPr>
        <w:t xml:space="preserve">Учебный кейс  </w:t>
      </w:r>
      <w:r>
        <w:t>Прогноз вероятности задержки доставки более чем на 15 минут. Исходный набор orders_dirty.csv содержит 121 строку и 10 полей, синтетические записи и специально внесённые дефекты. Исходник сохранять без изменений.</w:t>
      </w:r>
    </w:p>
    <w:p>
      <w:pPr>
        <w:pStyle w:val="Heading1"/>
      </w:pPr>
      <w:r>
        <w:t>1. Цель работы</w:t>
      </w:r>
    </w:p>
    <w:p>
      <w:r>
        <w:t>Исследовать структуру и распределения данных, сопоставить признаки с целевой переменной late, обнаружить признаки смещения и аномалии. Представить проверяемые числа и подписанные графики, а не только изображения из блокнота.</w:t>
      </w:r>
    </w:p>
    <w:p>
      <w:pPr>
        <w:pStyle w:val="Heading1"/>
      </w:pPr>
      <w:r>
        <w:t>2. Исходные материалы и правила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48"/>
        <w:gridCol w:w="4748"/>
      </w:tblGrid>
      <w:tr>
        <w:trPr>
          <w:tblHeader w:val="true"/>
        </w:trPr>
        <w:tc>
          <w:tcPr>
            <w:tcW w:type="dxa" w:w="3402"/>
            <w:vAlign w:val="center"/>
            <w:shd w:fill="1767A6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b/>
                <w:color w:val="FFFFFF"/>
                <w:sz w:val="16"/>
              </w:rPr>
              <w:t>Источник / инструмент</w:t>
            </w:r>
          </w:p>
        </w:tc>
        <w:tc>
          <w:tcPr>
            <w:tcW w:type="dxa" w:w="6803"/>
            <w:vAlign w:val="center"/>
            <w:shd w:fill="1767A6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b/>
                <w:color w:val="FFFFFF"/>
                <w:sz w:val="16"/>
              </w:rPr>
              <w:t>Для чего нужен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orders_dirty.csv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Сырой набор заказов с дефектами после занятий № 3–4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data_dictionary.csv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Типы полей, допустимые категории и диапазоны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Python / pandas / Matplotlib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Расчёты, группировки, графики; блокнот 05_student.ipynb создаёт студент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Отчёт № 4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Перечень известных проблем качества и ограничений исходного набора</w:t>
            </w:r>
          </w:p>
        </w:tc>
      </w:tr>
    </w:tbl>
    <w:p>
      <w:r>
        <w:rPr>
          <w:b/>
        </w:rPr>
        <w:t xml:space="preserve">Правило  </w:t>
      </w:r>
      <w:r>
        <w:t>Разделяйте описание сырого набора и анализ отфильтрованной копии. Если исключаете повторную строку или конфликтную метку, укажите причину, число исключений и остаточный размер выборки. Не считайте статистический выброс доказанной ошибкой.</w:t>
      </w:r>
    </w:p>
    <w:p>
      <w:pPr>
        <w:pStyle w:val="Heading1"/>
      </w:pPr>
      <w:r>
        <w:t>3. Практические задания</w:t>
      </w:r>
    </w:p>
    <w:p>
      <w:pPr>
        <w:pStyle w:val="ListNumber"/>
      </w:pPr>
      <w:r>
        <w:t>Загрузите CSV. Покажите N × p, типы, количество пропусков. Отдельно определите полные дубликаты и расхождение исторической метки late с правилом actual_minutes − promised_minutes &gt; 15. Эти поля используйте для аудита, но не как ранние признаки.</w:t>
      </w:r>
    </w:p>
    <w:p>
      <w:pPr>
        <w:pStyle w:val="ListNumber"/>
      </w:pPr>
      <w:r>
        <w:t>Опишите аналитическую копию набора: какие наблюдения включены и какие исключены (если исключены). Сделайте таблицу «действие / обоснование / N до / N после». Сырой файл не изменяйте.</w:t>
      </w:r>
    </w:p>
    <w:p>
      <w:pPr>
        <w:pStyle w:val="ListNumber"/>
      </w:pPr>
      <w:r>
        <w:t>Для distance_km, queue_size и promised_minutes рассчитайте минимум, максимум, среднее, медиану, стандартное отклонение, Q1 и Q3, число наблюдений и пропусков. Значения, не преобразуемые в числа, учитывайте отдельно.</w:t>
      </w:r>
    </w:p>
    <w:p>
      <w:pPr>
        <w:pStyle w:val="ListNumber"/>
      </w:pPr>
      <w:r>
        <w:t>Постройте минимум четыре графика: (1) гистограмма distance_km, (2) диаграмма размаха distance_km, (3) столбчатая диаграмма количества заказов по late, (4) доля late=1 по weather или zone с подписью размера каждой группы.</w:t>
      </w:r>
    </w:p>
    <w:p>
      <w:pPr>
        <w:pStyle w:val="ListNumber"/>
      </w:pPr>
      <w:r>
        <w:t>Для weather (или zone) приведите таблицу: категория, N, количество late=1, доля late=1 (%). Исключения категорий и отсутствующие значения укажите явно; при маленьких группах не делайте обобщений.</w:t>
      </w:r>
    </w:p>
    <w:p>
      <w:pPr>
        <w:pStyle w:val="ListNumber"/>
      </w:pPr>
      <w:r>
        <w:t>Вычислите межквартильный размах IQR и пороги 1,5×IQR хотя бы для distance_km. Сопоставьте статистически необычные наблюдения с учебным диапазоном из словаря, не удаляя их автоматически.</w:t>
      </w:r>
    </w:p>
    <w:p>
      <w:pPr>
        <w:pStyle w:val="ListNumber"/>
      </w:pPr>
      <w:r>
        <w:t>Сформулируйте не менее трёх наблюдений о наборе и не менее двух ограничений (в том числе синтетичность и дефекты данных). Не выдавайте статистические связи за причинно-следственные.</w:t>
      </w:r>
    </w:p>
    <w:p>
      <w:pPr>
        <w:pStyle w:val="ListNumber"/>
      </w:pPr>
      <w:r>
        <w:t>Проверьте запуск блокнота после перезапуска ядра и сохраните полученные графики. В тексте отчёта сошлитесь на ячейки или результаты, которые подтверждают выводы.</w:t>
      </w:r>
    </w:p>
    <w:p>
      <w:pPr>
        <w:pStyle w:val="Heading1"/>
      </w:pPr>
      <w:r>
        <w:t>4. Формулы и пояснения</w:t>
      </w:r>
    </w:p>
    <w:p>
      <w:pPr>
        <w:pStyle w:val="ListBullet"/>
      </w:pPr>
      <w:r>
        <w:t>Среднее: x̄ = (1/n) × Σxᵢ; медиана — центральное значение упорядоченного ряда. Для каждого показателя называйте n (число наблюдаемых чисел).</w:t>
      </w:r>
    </w:p>
    <w:p>
      <w:pPr>
        <w:pStyle w:val="ListBullet"/>
      </w:pPr>
      <w:r>
        <w:t>Межквартильный размах: IQR = Q3 − Q1; условные границы выбросов: [Q1 − 1,5×IQR; Q3 + 1,5×IQR]. Это эвристика, а не договорное ограничение.</w:t>
      </w:r>
    </w:p>
    <w:p>
      <w:pPr>
        <w:pStyle w:val="ListBullet"/>
      </w:pPr>
      <w:r>
        <w:t>Доля задержек в группе g: r_g = 100% × N(late=1, g) / N(valid_late, g). Знаменатель и фильтрация должны быть указаны.</w:t>
      </w:r>
    </w:p>
    <w:p>
      <w:pPr>
        <w:pStyle w:val="ListBullet"/>
      </w:pPr>
      <w:r>
        <w:t>Для корреляции или групповых разностей указывайте используемый набор, число допустимых наблюдений и ограничения интерпретации.</w:t>
      </w:r>
    </w:p>
    <w:p>
      <w:r>
        <w:br w:type="page"/>
      </w:r>
    </w:p>
    <w:p>
      <w:pPr>
        <w:pStyle w:val="Heading1"/>
      </w:pPr>
      <w:r>
        <w:t>5. Что должно быть в отчёте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48"/>
        <w:gridCol w:w="4748"/>
      </w:tblGrid>
      <w:tr>
        <w:trPr>
          <w:tblHeader w:val="true"/>
        </w:trPr>
        <w:tc>
          <w:tcPr>
            <w:tcW w:type="dxa" w:w="2835"/>
            <w:vAlign w:val="center"/>
            <w:shd w:fill="1767A6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7370"/>
            <w:vAlign w:val="center"/>
            <w:shd w:fill="1767A6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b/>
                <w:color w:val="FFFFFF"/>
                <w:sz w:val="16"/>
              </w:rPr>
              <w:t>Обязательное подтверждение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Исходные данные и выборка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N × p, список используемых признаков, фильтрация и число записей до/после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Описательная статистика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Таблица по трём числовым признакам: n, пропуски, min, max, mean, median, std, Q1, Q3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Визуализация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Не менее 4 подписанных графиков с единицами, легендой/категориями и 1–2 фразами анализа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Взаимосвязи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Таблица задержек по группам: N, N_late, доля; сравнение без причинных утверждений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Аномалии и ограничения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IQR-пороги, сопоставление со словарём, два риска интерпретации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Вывод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Не менее 3 численно подтверждённых наблюдений и один следующий шаг</w:t>
            </w:r>
          </w:p>
        </w:tc>
      </w:tr>
    </w:tbl>
    <w:p>
      <w:pPr>
        <w:pStyle w:val="Heading1"/>
      </w:pPr>
      <w:r>
        <w:t>6. Контрольные вопросы</w:t>
      </w:r>
    </w:p>
    <w:p>
      <w:pPr>
        <w:pStyle w:val="ListBullet"/>
      </w:pPr>
      <w:r>
        <w:t>Чем медиана отличается от среднего и когда она полезнее?</w:t>
      </w:r>
    </w:p>
    <w:p>
      <w:pPr>
        <w:pStyle w:val="ListBullet"/>
      </w:pPr>
      <w:r>
        <w:t>Почему доля задержек для группы из 3 заказов ненадёжнее, чем для группы из 50?</w:t>
      </w:r>
    </w:p>
    <w:p>
      <w:pPr>
        <w:pStyle w:val="ListBullet"/>
      </w:pPr>
      <w:r>
        <w:t>Почему наблюдение за пределами 1,5×IQR не обязательно удалять?</w:t>
      </w:r>
    </w:p>
    <w:p>
      <w:pPr>
        <w:pStyle w:val="ListBullet"/>
      </w:pPr>
      <w:r>
        <w:t>Что означают пропуски и дефекты целевой метки для выводов разведочного анализа?</w:t>
      </w:r>
    </w:p>
    <w:p>
      <w:pPr>
        <w:pStyle w:val="Heading1"/>
      </w:pPr>
      <w:r>
        <w:t>7. Оценивание — 10 баллов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48"/>
        <w:gridCol w:w="4748"/>
      </w:tblGrid>
      <w:tr>
        <w:trPr>
          <w:tblHeader w:val="true"/>
        </w:trPr>
        <w:tc>
          <w:tcPr>
            <w:tcW w:type="dxa" w:w="8504"/>
            <w:vAlign w:val="center"/>
            <w:shd w:fill="1767A6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1701"/>
            <w:vAlign w:val="center"/>
            <w:shd w:fill="1767A6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b/>
                <w:color w:val="FFFFFF"/>
                <w:sz w:val="16"/>
              </w:rPr>
              <w:t>Баллы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Корректная исходная таблица, выборка и прозрачность фильтрации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Описательная статистика с числом наблюдений и единицами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Не менее четырёх содержательных подписанных графиков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Сравнение групп, IQR, ограничения и аргументированные выводы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Воспроизводимый блокнот, аккуратный отчёт и ответы на вопросы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1</w:t>
            </w:r>
          </w:p>
        </w:tc>
      </w:tr>
    </w:tbl>
    <w:p>
      <w:r>
        <w:rPr>
          <w:b/>
        </w:rPr>
        <w:t xml:space="preserve">Сдать  </w:t>
      </w:r>
      <w:r>
        <w:t>Группа_Фамилия_З05_Отчет.docx (или PDF) + исполняемый 05_student.ipynb. Объём текста 2–4 страницы без приложений; код не переписывайте в Word. Срок и канал сдачи устанавливает преподаватель.</w:t>
      </w:r>
    </w:p>
    <w:p>
      <w:pPr>
        <w:pStyle w:val="SmallNote"/>
      </w:pPr>
      <w:r>
        <w:t>Подсказка: один красивый график без чисел, подписей и объяснения не считается результатом исследования.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" w:right="1191" w:bottom="720" w:left="121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6F"/>
        <w:sz w:val="16"/>
      </w:rPr>
      <w:t xml:space="preserve">Учебные материалы · В. Мазур, доцент ТюмГУ    |  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ТЮМГУ  /  ТЕХНОЛОГИИ ИСКУССТВЕННОГО ИНТЕЛЛЕКТА —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/>
      <w:color w:val="172E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25FA7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25FA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2E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/>
      <w:iCs/>
      <w:color w:val="58646F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45" w:lineRule="auto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45" w:lineRule="auto"/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basedOn w:val="Normal"/>
    <w:pPr>
      <w:spacing w:after="100"/>
    </w:pPr>
    <w:rPr>
      <w:rFonts w:ascii="Arial" w:hAnsi="Arial"/>
      <w:color w:val="58646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ТюмГУ. Технологии искусственного интеллекта — 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