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ПРАКТИЧЕСКОЕ ЗАНЯТИЕ  /  10</w:t>
      </w:r>
    </w:p>
    <w:p>
      <w:pPr>
        <w:pStyle w:val="Title"/>
      </w:pPr>
      <w:r>
        <w:t>Оценка модели, выбор порога и экономическая цена ошибок</w:t>
      </w:r>
    </w:p>
    <w:p>
      <w:r>
        <w:t>Методические указания для самостоятельного выполнения · 90 минут · Python / scikit-learn / Google Colab</w:t>
      </w:r>
    </w:p>
    <w:p>
      <w:pPr>
        <w:pStyle w:val="Heading1"/>
      </w:pPr>
      <w:r>
        <w:t>1. Цель занятия и результат</w:t>
      </w:r>
    </w:p>
    <w:p>
      <w:r>
        <w:t>Научиться оценивать бинарный классификатор на проверочной выборке, различать FP и FN, переводить порог вероятности в управленческое решение, выбирать порог по формализованной стоимости ошибок и только после этого выполнять однократную итоговую проверку на test.</w:t>
      </w:r>
    </w:p>
    <w:p>
      <w:pPr>
        <w:pStyle w:val="ListBullet"/>
      </w:pPr>
      <w:r>
        <w:t>Для t=0,30/0,50/0,70 рассчитаны TN, FP, FN, TP, Accuracy, Precision, Recall и F1.</w:t>
      </w:r>
    </w:p>
    <w:p>
      <w:pPr>
        <w:pStyle w:val="ListBullet"/>
      </w:pPr>
      <w:r>
        <w:t>Построена кривая учебной стоимости ошибок по сетке порогов.</w:t>
      </w:r>
    </w:p>
    <w:p>
      <w:pPr>
        <w:pStyle w:val="ListBullet"/>
      </w:pPr>
      <w:r>
        <w:t>Порог выбран исключительно на validation с зафиксированным правилом разрешения равенств.</w:t>
      </w:r>
    </w:p>
    <w:p>
      <w:pPr>
        <w:pStyle w:val="ListBullet"/>
      </w:pPr>
      <w:r>
        <w:t>Test использован один раз для зафиксированного решения; результаты и ограничения описаны в отчёте.</w:t>
      </w:r>
    </w:p>
    <w:p>
      <w:pPr>
        <w:pStyle w:val="Heading1"/>
      </w:pPr>
      <w:r>
        <w:t>2. Входные данные и граница честной оценки</w:t>
      </w:r>
    </w:p>
    <w:p>
      <w:r>
        <w:t>Используются те же рабочая копия orders_dirty.csv, исходные поля, процесс очистки, train/validation/test, функции признаков и Pipeline, что на занятиях 6–9. Цель late=1 обозначает задержку более 15 минут. Данные actual_minutes используются только в аудите, а не в X. В учебном эксперименте сравниваем DummyClassifier и LogisticRegression(C=1).</w:t>
      </w:r>
    </w:p>
    <w:p>
      <w:r>
        <w:t>Запрещено: заново выбирать поля по результатам test; изменять порог после просмотра test; переобучать обработчики или сам классификатор на validation/test; выдавать стоимость 200/2000 за реальную экономику бизнеса без подтверждающих данных.</w:t>
      </w:r>
    </w:p>
    <w:p>
      <w:pPr>
        <w:pStyle w:val="Heading1"/>
      </w:pPr>
      <w:r>
        <w:t>3. Формулы и матрица ошибок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551"/>
            <w:shd w:fill="D9EAF1"/>
          </w:tcPr>
          <w:p>
            <w:r>
              <w:rPr>
                <w:b/>
                <w:sz w:val="18"/>
              </w:rPr>
              <w:t>Факт / прогноз</w:t>
            </w:r>
          </w:p>
        </w:tc>
        <w:tc>
          <w:tcPr>
            <w:tcW w:type="dxa" w:w="2948"/>
            <w:shd w:fill="D9EAF1"/>
          </w:tcPr>
          <w:p>
            <w:r>
              <w:rPr>
                <w:b/>
                <w:sz w:val="18"/>
              </w:rPr>
              <w:t>0 — вовремя</w:t>
            </w:r>
          </w:p>
        </w:tc>
        <w:tc>
          <w:tcPr>
            <w:tcW w:type="dxa" w:w="3005"/>
            <w:shd w:fill="D9EAF1"/>
          </w:tcPr>
          <w:p>
            <w:r>
              <w:rPr>
                <w:b/>
                <w:sz w:val="18"/>
              </w:rPr>
              <w:t>1 — задержка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/>
            </w:pPr>
            <w:r>
              <w:rPr>
                <w:sz w:val="17"/>
              </w:rPr>
              <w:t>0 — вовремя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>
              <w:rPr>
                <w:sz w:val="17"/>
              </w:rPr>
              <w:t>TN: правильное отсутствие тревоги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sz w:val="17"/>
              </w:rPr>
              <w:t>FP: ложная тревога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/>
            </w:pPr>
            <w:r>
              <w:rPr>
                <w:sz w:val="17"/>
              </w:rPr>
              <w:t>1 — задержка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>
              <w:rPr>
                <w:sz w:val="17"/>
              </w:rPr>
              <w:t>FN: пропущенная задержка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sz w:val="17"/>
              </w:rPr>
              <w:t>TP: правильно найденная задержка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551"/>
            <w:shd w:fill="D9EAF1"/>
          </w:tcPr>
          <w:p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5953"/>
            <w:shd w:fill="D9EAF1"/>
          </w:tcPr>
          <w:p>
            <w:r>
              <w:rPr>
                <w:b/>
                <w:sz w:val="18"/>
              </w:rPr>
              <w:t>Расчёт / смысл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/>
            </w:pPr>
            <w:r>
              <w:rPr>
                <w:sz w:val="17"/>
              </w:rPr>
              <w:t>Accuracy</w:t>
            </w:r>
          </w:p>
        </w:tc>
        <w:tc>
          <w:tcPr>
            <w:tcW w:type="dxa" w:w="5953"/>
            <w:vAlign w:val="center"/>
          </w:tcPr>
          <w:p>
            <w:pPr>
              <w:spacing w:after="20"/>
            </w:pPr>
            <w:r>
              <w:rPr>
                <w:sz w:val="17"/>
              </w:rPr>
              <w:t>(TP+TN)/(TP+TN+FP+FN)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/>
            </w:pPr>
            <w:r>
              <w:rPr>
                <w:sz w:val="17"/>
              </w:rPr>
              <w:t>Precision</w:t>
            </w:r>
          </w:p>
        </w:tc>
        <w:tc>
          <w:tcPr>
            <w:tcW w:type="dxa" w:w="5953"/>
            <w:vAlign w:val="center"/>
          </w:tcPr>
          <w:p>
            <w:pPr>
              <w:spacing w:after="20"/>
            </w:pPr>
            <w:r>
              <w:rPr>
                <w:sz w:val="17"/>
              </w:rPr>
              <w:t>TP/(TP+FP): доля истинных задержек среди тревог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/>
            </w:pPr>
            <w:r>
              <w:rPr>
                <w:sz w:val="17"/>
              </w:rPr>
              <w:t>Recall</w:t>
            </w:r>
          </w:p>
        </w:tc>
        <w:tc>
          <w:tcPr>
            <w:tcW w:type="dxa" w:w="5953"/>
            <w:vAlign w:val="center"/>
          </w:tcPr>
          <w:p>
            <w:pPr>
              <w:spacing w:after="20"/>
            </w:pPr>
            <w:r>
              <w:rPr>
                <w:sz w:val="17"/>
              </w:rPr>
              <w:t>TP/(TP+FN): доля найденных задержек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/>
            </w:pPr>
            <w:r>
              <w:rPr>
                <w:sz w:val="17"/>
              </w:rPr>
              <w:t>F1</w:t>
            </w:r>
          </w:p>
        </w:tc>
        <w:tc>
          <w:tcPr>
            <w:tcW w:type="dxa" w:w="5953"/>
            <w:vAlign w:val="center"/>
          </w:tcPr>
          <w:p>
            <w:pPr>
              <w:spacing w:after="20"/>
            </w:pPr>
            <w:r>
              <w:rPr>
                <w:sz w:val="17"/>
              </w:rPr>
              <w:t>2·Precision·Recall/(Precision+Recall), при нулевых знаменателях по принятому правилу 0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/>
            </w:pPr>
            <w:r>
              <w:rPr>
                <w:sz w:val="17"/>
              </w:rPr>
              <w:t>Balanced Accuracy</w:t>
            </w:r>
          </w:p>
        </w:tc>
        <w:tc>
          <w:tcPr>
            <w:tcW w:type="dxa" w:w="5953"/>
            <w:vAlign w:val="center"/>
          </w:tcPr>
          <w:p>
            <w:pPr>
              <w:spacing w:after="20"/>
            </w:pPr>
            <w:r>
              <w:rPr>
                <w:sz w:val="17"/>
              </w:rPr>
              <w:t>(TPR+TNR)/2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/>
            </w:pPr>
            <w:r>
              <w:rPr>
                <w:sz w:val="17"/>
              </w:rPr>
              <w:t>Стоимость порога</w:t>
            </w:r>
          </w:p>
        </w:tc>
        <w:tc>
          <w:tcPr>
            <w:tcW w:type="dxa" w:w="5953"/>
            <w:vAlign w:val="center"/>
          </w:tcPr>
          <w:p>
            <w:pPr>
              <w:spacing w:after="20"/>
            </w:pPr>
            <w:r>
              <w:rPr>
                <w:sz w:val="17"/>
              </w:rPr>
              <w:t>C(t) = 200·FP(t) + 2000·FN(t), рублей; учебные коэффициенты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/>
            </w:pPr>
            <w:r>
              <w:rPr>
                <w:sz w:val="17"/>
              </w:rPr>
              <w:t>Теоретический порог</w:t>
            </w:r>
          </w:p>
        </w:tc>
        <w:tc>
          <w:tcPr>
            <w:tcW w:type="dxa" w:w="5953"/>
            <w:vAlign w:val="center"/>
          </w:tcPr>
          <w:p>
            <w:pPr>
              <w:spacing w:after="20"/>
            </w:pPr>
            <w:r>
              <w:rPr>
                <w:sz w:val="17"/>
              </w:rPr>
              <w:t>t* = C_FP/(C_FP+C_FN) = 200/2200 ≈ 0,0909 только при калиброванных p и данных допущениях</w:t>
            </w:r>
          </w:p>
        </w:tc>
      </w:tr>
    </w:tbl>
    <w:p>
      <w:pPr>
        <w:spacing w:after="0"/>
      </w:pPr>
    </w:p>
    <w:p>
      <w:r>
        <w:t>Обратите внимание: предсказание метки определяется как ŷ=1, если p≥t; при изменении t обученные коэффициенты не меняются. ROC AUC и Average Precision используют ранжирование и не равны денежной стоимости решения. Теоретический порог ≈0,0909 не обязан минимизировать эмпирическую стоимость на маленькой validation выборке.</w:t>
      </w:r>
    </w:p>
    <w:p>
      <w:pPr>
        <w:pStyle w:val="Heading1"/>
      </w:pPr>
      <w:r>
        <w:t>4. План работы на 90 минут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247"/>
            <w:shd w:fill="D9EAF1"/>
          </w:tcPr>
          <w:p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3402"/>
            <w:shd w:fill="D9EAF1"/>
          </w:tcPr>
          <w:p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3855"/>
            <w:shd w:fill="D9EAF1"/>
          </w:tcPr>
          <w:p>
            <w:r>
              <w:rPr>
                <w:b/>
                <w:sz w:val="18"/>
              </w:rPr>
              <w:t>Контроль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/>
            </w:pPr>
            <w:r>
              <w:rPr>
                <w:sz w:val="17"/>
              </w:rPr>
              <w:t>0–15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>
              <w:rPr>
                <w:sz w:val="17"/>
              </w:rPr>
              <w:t>Восстановление данных и разделения</w:t>
            </w:r>
          </w:p>
        </w:tc>
        <w:tc>
          <w:tcPr>
            <w:tcW w:type="dxa" w:w="3855"/>
            <w:vAlign w:val="center"/>
          </w:tcPr>
          <w:p>
            <w:pPr>
              <w:spacing w:after="20"/>
            </w:pPr>
            <w:r>
              <w:rPr>
                <w:sz w:val="17"/>
              </w:rPr>
              <w:t>Совпадают train/val/test; нет утечки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/>
            </w:pPr>
            <w:r>
              <w:rPr>
                <w:sz w:val="17"/>
              </w:rPr>
              <w:t>15–30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>
              <w:rPr>
                <w:sz w:val="17"/>
              </w:rPr>
              <w:t>Логистическая и базовая модели</w:t>
            </w:r>
          </w:p>
        </w:tc>
        <w:tc>
          <w:tcPr>
            <w:tcW w:type="dxa" w:w="3855"/>
            <w:vAlign w:val="center"/>
          </w:tcPr>
          <w:p>
            <w:pPr>
              <w:spacing w:after="20"/>
            </w:pPr>
            <w:r>
              <w:rPr>
                <w:sz w:val="17"/>
              </w:rPr>
              <w:t>Вероятности только на validation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/>
            </w:pPr>
            <w:r>
              <w:rPr>
                <w:sz w:val="17"/>
              </w:rPr>
              <w:t>30–45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>
              <w:rPr>
                <w:sz w:val="17"/>
              </w:rPr>
              <w:t>Матрица ошибок и метрики при 0,50</w:t>
            </w:r>
          </w:p>
        </w:tc>
        <w:tc>
          <w:tcPr>
            <w:tcW w:type="dxa" w:w="3855"/>
            <w:vAlign w:val="center"/>
          </w:tcPr>
          <w:p>
            <w:pPr>
              <w:spacing w:after="20"/>
            </w:pPr>
            <w:r>
              <w:rPr>
                <w:sz w:val="17"/>
              </w:rPr>
              <w:t>TN/FP/FN/TP, accuracy/precision/recall/F1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/>
            </w:pPr>
            <w:r>
              <w:rPr>
                <w:sz w:val="17"/>
              </w:rPr>
              <w:t>45–60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>
              <w:rPr>
                <w:sz w:val="17"/>
              </w:rPr>
              <w:t>Сравнение порогов 0,30/0,50/0,70</w:t>
            </w:r>
          </w:p>
        </w:tc>
        <w:tc>
          <w:tcPr>
            <w:tcW w:type="dxa" w:w="3855"/>
            <w:vAlign w:val="center"/>
          </w:tcPr>
          <w:p>
            <w:pPr>
              <w:spacing w:after="20"/>
            </w:pPr>
            <w:r>
              <w:rPr>
                <w:sz w:val="17"/>
              </w:rPr>
              <w:t>Таблица и график условной стоимости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/>
            </w:pPr>
            <w:r>
              <w:rPr>
                <w:sz w:val="17"/>
              </w:rPr>
              <w:t>60–75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>
              <w:rPr>
                <w:sz w:val="17"/>
              </w:rPr>
              <w:t>Сетка порогов и выбор t на validation</w:t>
            </w:r>
          </w:p>
        </w:tc>
        <w:tc>
          <w:tcPr>
            <w:tcW w:type="dxa" w:w="3855"/>
            <w:vAlign w:val="center"/>
          </w:tcPr>
          <w:p>
            <w:pPr>
              <w:spacing w:after="20"/>
            </w:pPr>
            <w:r>
              <w:rPr>
                <w:sz w:val="17"/>
              </w:rPr>
              <w:t>Выбранный t и правило выбора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/>
            </w:pPr>
            <w:r>
              <w:rPr>
                <w:sz w:val="17"/>
              </w:rPr>
              <w:t>75–80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>
              <w:rPr>
                <w:sz w:val="17"/>
              </w:rPr>
              <w:t>ROC/PR и их ограничения</w:t>
            </w:r>
          </w:p>
        </w:tc>
        <w:tc>
          <w:tcPr>
            <w:tcW w:type="dxa" w:w="3855"/>
            <w:vAlign w:val="center"/>
          </w:tcPr>
          <w:p>
            <w:pPr>
              <w:spacing w:after="20"/>
            </w:pPr>
            <w:r>
              <w:rPr>
                <w:sz w:val="17"/>
              </w:rPr>
              <w:t>AUC/AP или корректная пометка о неприменимости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/>
            </w:pPr>
            <w:r>
              <w:rPr>
                <w:sz w:val="17"/>
              </w:rPr>
              <w:t>80–88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>
              <w:rPr>
                <w:sz w:val="17"/>
              </w:rPr>
              <w:t>Однократная проверка test</w:t>
            </w:r>
          </w:p>
        </w:tc>
        <w:tc>
          <w:tcPr>
            <w:tcW w:type="dxa" w:w="3855"/>
            <w:vAlign w:val="center"/>
          </w:tcPr>
          <w:p>
            <w:pPr>
              <w:spacing w:after="20"/>
            </w:pPr>
            <w:r>
              <w:rPr>
                <w:sz w:val="17"/>
              </w:rPr>
              <w:t>Зафиксированные метрики, CSV и модель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/>
            </w:pPr>
            <w:r>
              <w:rPr>
                <w:sz w:val="17"/>
              </w:rPr>
              <w:t>88–90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>
              <w:rPr>
                <w:sz w:val="17"/>
              </w:rPr>
              <w:t>Выводы</w:t>
            </w:r>
          </w:p>
        </w:tc>
        <w:tc>
          <w:tcPr>
            <w:tcW w:type="dxa" w:w="3855"/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Протокол решений и ограничения</w:t>
            </w:r>
          </w:p>
        </w:tc>
      </w:tr>
    </w:tbl>
    <w:p>
      <w:pPr>
        <w:spacing w:after="0"/>
      </w:pPr>
    </w:p>
    <w:p>
      <w:pPr>
        <w:pStyle w:val="Heading1"/>
      </w:pPr>
      <w:r>
        <w:t>5. Пошаговые задания</w:t>
      </w:r>
    </w:p>
    <w:p>
      <w:pPr>
        <w:pStyle w:val="Heading2"/>
      </w:pPr>
      <w:r>
        <w:t>Шаг 1. Проверка структуры</w:t>
      </w:r>
    </w:p>
    <w:p>
      <w:r>
        <w:t>1. Откройте 10_student.ipynb и загрузите orders_dirty.csv. Если есть split_ids_06.csv, используйте разбиение занятия 6.</w:t>
      </w:r>
    </w:p>
    <w:p>
      <w:r>
        <w:t>2. Убедитесь, что train/validation/test не пересекаются по order_id, а метка late бинарна.</w:t>
      </w:r>
    </w:p>
    <w:p>
      <w:r>
        <w:t>3. Постройте идентичный занятиям 8–9 Pipeline. Вся статистика имputation, scaling и категории должны подбираться лишь по train.</w:t>
      </w:r>
    </w:p>
    <w:p>
      <w:pPr>
        <w:pStyle w:val="Heading2"/>
      </w:pPr>
      <w:r>
        <w:t>Шаг 2. Метрики для порога 0,50</w:t>
      </w:r>
    </w:p>
    <w:p>
      <w:r>
        <w:t>1. На train обучите DummyClassifier(strategy="prior") и LogisticRegression(C=1, max_iter=3000).</w:t>
      </w:r>
    </w:p>
    <w:p>
      <w:r>
        <w:t>2. На validation получите вероятности p класса 1. Вычислите ŷ=1{p≥0,50}.</w:t>
      </w:r>
    </w:p>
    <w:p>
      <w:r>
        <w:t>3. Сформируйте матрицу ошибок с labels=[0,1] и составьте таблицу TN/FP/FN/TP, Accuracy, Precision, Recall, F1, Balanced Accuracy, Log Loss.</w:t>
      </w:r>
    </w:p>
    <w:p>
      <w:r>
        <w:t>4. Поясните, почему при редком классе Accuracy может вводить в заблуждение.</w:t>
      </w:r>
    </w:p>
    <w:p>
      <w:pPr>
        <w:pStyle w:val="Heading2"/>
      </w:pPr>
      <w:r>
        <w:t>Шаг 3. Цена ошибок и оптимизация порога</w:t>
      </w:r>
    </w:p>
    <w:p>
      <w:r>
        <w:t>1. Для t ∈ {0,30; 0,50; 0,70} рассчитайте FP, FN и стоимость в рублях по формуле C(t)=200·FP+2000·FN.</w:t>
      </w:r>
    </w:p>
    <w:p>
      <w:r>
        <w:t>2. Постройте график стоимости по трём порогам. Отдельно объясните, при каком пороге более вероятно снижение FN за счёт роста FP.</w:t>
      </w:r>
    </w:p>
    <w:p>
      <w:r>
        <w:t>3. Перейдите к фиксированной сетке 0,05…0,95 с шагом 0,05; добавьте аналитический порог 200/2200.</w:t>
      </w:r>
    </w:p>
    <w:p>
      <w:r>
        <w:t>4. Выберите минимальную стоимость только на validation. При равенстве затрат — больший Recall, затем порог ближе к 0,5, затем меньший порог (правило применяется в коде).</w:t>
      </w:r>
    </w:p>
    <w:p>
      <w:pPr>
        <w:pStyle w:val="Heading2"/>
      </w:pPr>
      <w:r>
        <w:t>Шаг 4. Финальная проверка</w:t>
      </w:r>
    </w:p>
    <w:p>
      <w:r>
        <w:t>1. После полного выбора зафиксируйте модель, входные поля, правило преобразований и selected_t.</w:t>
      </w:r>
    </w:p>
    <w:p>
      <w:r>
        <w:t>2. Один раз вызовите predict_proba(Xtest). Выведите метрики для порогов 0,5 и selected_t без дальнейших изменений.</w:t>
      </w:r>
    </w:p>
    <w:p>
      <w:r>
        <w:t>3. Сохраните CSV итогового теста и joblib-модель; напишите, какие артефакты нужны для корректной повторной загрузки.</w:t>
      </w:r>
    </w:p>
    <w:p>
      <w:pPr>
        <w:pStyle w:val="Heading1"/>
      </w:pPr>
      <w:r>
        <w:t>6. Задания для анализа и самостоятельной работы</w:t>
      </w:r>
    </w:p>
    <w:p>
      <w:pPr>
        <w:pStyle w:val="ListBullet"/>
      </w:pPr>
      <w:r>
        <w:t>Рассчитайте вручную стоимость одного варианта по матрице ошибок. Проверьте число с программой.</w:t>
      </w:r>
    </w:p>
    <w:p>
      <w:pPr>
        <w:pStyle w:val="ListBullet"/>
      </w:pPr>
      <w:r>
        <w:t>Объясните, когда FN опаснее FP для сервиса доставки и почему стоимости нужно согласовывать с владельцем процесса.</w:t>
      </w:r>
    </w:p>
    <w:p>
      <w:pPr>
        <w:pStyle w:val="ListBullet"/>
      </w:pPr>
      <w:r>
        <w:t>Сопоставьте выбранный эмпирический порог и формулу C_FP/(C_FP+C_FN); укажите условия применимости формулы.</w:t>
      </w:r>
    </w:p>
    <w:p>
      <w:pPr>
        <w:pStyle w:val="ListBullet"/>
      </w:pPr>
      <w:r>
        <w:t>Опишите, почему поиск порога по test недопустим даже в случае хороших результатов.</w:t>
      </w:r>
    </w:p>
    <w:p>
      <w:pPr>
        <w:pStyle w:val="ListBullet"/>
      </w:pPr>
      <w:r>
        <w:t>Добавьте интерпретацию ROC/PR: что меняется при сильном дисбалансе классов, и почему PR полезна для редких задержек.</w:t>
      </w:r>
    </w:p>
    <w:p>
      <w:pPr>
        <w:pStyle w:val="Heading1"/>
      </w:pPr>
      <w:r>
        <w:t>7. Структура отчёта и оценивание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shd w:fill="D9EAF1"/>
          </w:tcPr>
          <w:p>
            <w:r>
              <w:rPr>
                <w:b/>
                <w:sz w:val="18"/>
              </w:rPr>
              <w:t>Раздел</w:t>
            </w:r>
          </w:p>
        </w:tc>
        <w:tc>
          <w:tcPr>
            <w:tcW w:type="dxa" w:w="6236"/>
            <w:shd w:fill="D9EAF1"/>
          </w:tcPr>
          <w:p>
            <w:r>
              <w:rPr>
                <w:b/>
                <w:sz w:val="18"/>
              </w:rPr>
              <w:t>Обязательное содержание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sz w:val="17"/>
              </w:rPr>
              <w:t>Эксперимент</w:t>
            </w:r>
          </w:p>
        </w:tc>
        <w:tc>
          <w:tcPr>
            <w:tcW w:type="dxa" w:w="6236"/>
            <w:vAlign w:val="center"/>
          </w:tcPr>
          <w:p>
            <w:pPr>
              <w:spacing w:after="20"/>
            </w:pPr>
            <w:r>
              <w:rPr>
                <w:sz w:val="17"/>
              </w:rPr>
              <w:t>Состав X/y, три части, метод защиты от утечки, гиперпараметры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sz w:val="17"/>
              </w:rPr>
              <w:t>Метрики</w:t>
            </w:r>
          </w:p>
        </w:tc>
        <w:tc>
          <w:tcPr>
            <w:tcW w:type="dxa" w:w="6236"/>
            <w:vAlign w:val="center"/>
          </w:tcPr>
          <w:p>
            <w:pPr>
              <w:spacing w:after="20"/>
            </w:pPr>
            <w:r>
              <w:rPr>
                <w:sz w:val="17"/>
              </w:rPr>
              <w:t>Матрица ошибок, формулы и таблица двух моделей при t=0,50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sz w:val="17"/>
              </w:rPr>
              <w:t>Порог</w:t>
            </w:r>
          </w:p>
        </w:tc>
        <w:tc>
          <w:tcPr>
            <w:tcW w:type="dxa" w:w="6236"/>
            <w:vAlign w:val="center"/>
          </w:tcPr>
          <w:p>
            <w:pPr>
              <w:spacing w:after="20"/>
            </w:pPr>
            <w:r>
              <w:rPr>
                <w:sz w:val="17"/>
              </w:rPr>
              <w:t>Таблица t=0,30/0,50/0,70 и кривая стоимости на validation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Правило выбора</w:t>
            </w:r>
          </w:p>
        </w:tc>
        <w:tc>
          <w:tcPr>
            <w:tcW w:type="dxa" w:w="6236"/>
            <w:vAlign w:val="center"/>
          </w:tcPr>
          <w:p>
            <w:pPr>
              <w:spacing w:after="20"/>
            </w:pPr>
            <w:r>
              <w:rPr>
                <w:sz w:val="17"/>
              </w:rPr>
              <w:t>Сетка порогов, критерий равенства, полученное значение 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sz w:val="17"/>
              </w:rPr>
              <w:t>Итоговый test</w:t>
            </w:r>
          </w:p>
        </w:tc>
        <w:tc>
          <w:tcPr>
            <w:tcW w:type="dxa" w:w="6236"/>
            <w:vAlign w:val="center"/>
          </w:tcPr>
          <w:p>
            <w:pPr>
              <w:spacing w:after="20"/>
            </w:pPr>
            <w:r>
              <w:rPr>
                <w:sz w:val="17"/>
              </w:rPr>
              <w:t>Единственная итоговая проверка, результат, запрет на подгонку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sz w:val="17"/>
              </w:rPr>
              <w:t>Ограничения</w:t>
            </w:r>
          </w:p>
        </w:tc>
        <w:tc>
          <w:tcPr>
            <w:tcW w:type="dxa" w:w="6236"/>
            <w:vAlign w:val="center"/>
          </w:tcPr>
          <w:p>
            <w:pPr>
              <w:spacing w:after="20"/>
            </w:pPr>
            <w:r>
              <w:rPr>
                <w:sz w:val="17"/>
              </w:rPr>
              <w:t>Синтетические данные, размер выборок, условные рублёвые цены ошибок, качество вероятностей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6803"/>
            <w:shd w:fill="D9EAF1"/>
          </w:tcPr>
          <w:p>
            <w:r>
              <w:rPr>
                <w:b/>
                <w:sz w:val="18"/>
              </w:rPr>
              <w:t>Критерий</w:t>
            </w:r>
          </w:p>
        </w:tc>
        <w:tc>
          <w:tcPr>
            <w:tcW w:type="dxa" w:w="1701"/>
            <w:shd w:fill="D9EAF1"/>
          </w:tcPr>
          <w:p>
            <w:r>
              <w:rPr>
                <w:b/>
                <w:sz w:val="18"/>
              </w:rPr>
              <w:t>Баллы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20"/>
            </w:pPr>
            <w:r>
              <w:rPr>
                <w:sz w:val="17"/>
              </w:rPr>
              <w:t>Корректное восстановление модели без утечек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20"/>
            </w:pPr>
            <w:r>
              <w:rPr>
                <w:sz w:val="17"/>
              </w:rPr>
              <w:t>Матрица ошибок и метрики на validation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20"/>
            </w:pPr>
            <w:r>
              <w:rPr>
                <w:sz w:val="17"/>
              </w:rPr>
              <w:t>Стоимость на трёх порогах и график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20"/>
            </w:pPr>
            <w:r>
              <w:rPr>
                <w:sz w:val="17"/>
              </w:rPr>
              <w:t>Подбор порога на validation с воспроизводимым выбором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20"/>
            </w:pPr>
            <w:r>
              <w:rPr>
                <w:sz w:val="17"/>
              </w:rPr>
              <w:t>Один тест и честное объяснение ограничений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sz w:val="17"/>
              </w:rPr>
              <w:t>2</w:t>
            </w:r>
          </w:p>
        </w:tc>
      </w:tr>
    </w:tbl>
    <w:p>
      <w:pPr>
        <w:spacing w:after="0"/>
      </w:pPr>
    </w:p>
    <w:p>
      <w:r>
        <w:t>Файлы сдачи: Группа_Фамилия_З10_Отчет.docx (или PDF), 10_student.ipynb, 10_validation_threshold_grid.csv, 10_final_test_once.csv. Рекомендуемый объём 3–5 страниц без кода и приложений. Срок и место сдачи задаёт преподаватель.</w:t>
      </w:r>
    </w:p>
    <w:p>
      <w:pPr>
        <w:pStyle w:val="Heading1"/>
      </w:pPr>
      <w:r>
        <w:t>8. Контрольные вопросы</w:t>
      </w:r>
    </w:p>
    <w:p>
      <w:pPr>
        <w:pStyle w:val="ListBullet"/>
      </w:pPr>
      <w:r>
        <w:t>Как отличается FP от FN для задачи предупреждения о задержке?</w:t>
      </w:r>
    </w:p>
    <w:p>
      <w:pPr>
        <w:pStyle w:val="ListBullet"/>
      </w:pPr>
      <w:r>
        <w:t>Чем Precision отличается от Recall при уменьшении порога?</w:t>
      </w:r>
    </w:p>
    <w:p>
      <w:pPr>
        <w:pStyle w:val="ListBullet"/>
      </w:pPr>
      <w:r>
        <w:t>Почему порог 0,5 — не универсальное оптимальное решение?</w:t>
      </w:r>
    </w:p>
    <w:p>
      <w:pPr>
        <w:pStyle w:val="ListBullet"/>
      </w:pPr>
      <w:r>
        <w:t>Почему 200/2200 — не гарантия минимальной стоимости при любых данных?</w:t>
      </w:r>
    </w:p>
    <w:p>
      <w:pPr>
        <w:pStyle w:val="ListBullet"/>
      </w:pPr>
      <w:r>
        <w:t>Можно ли сравнить модели по Accuracy и заключить, какая выгоднее для бизнеса?</w:t>
      </w:r>
    </w:p>
    <w:p>
      <w:pPr>
        <w:pStyle w:val="ListBullet"/>
      </w:pPr>
      <w:r>
        <w:t>Зачем нужен test, если есть validation, и почему его нельзя использовать повторно для корректировок?</w:t>
      </w:r>
    </w:p>
    <w:p>
      <w:pPr>
        <w:pStyle w:val="Heading1"/>
      </w:pPr>
      <w:r>
        <w:t>9. Источники и документация</w:t>
      </w:r>
    </w:p>
    <w:p>
      <w:pPr>
        <w:pStyle w:val="ListBullet"/>
      </w:pPr>
      <w:r>
        <w:t>Документация scikit-learn: https://scikit-learn.org/stable/user_guide.html</w:t>
      </w:r>
    </w:p>
    <w:p>
      <w:pPr>
        <w:pStyle w:val="ListBullet"/>
      </w:pPr>
      <w:r>
        <w:t>Pipeline: https://scikit-learn.org/stable/modules/generated/sklearn.pipeline.Pipeline.html</w:t>
      </w:r>
    </w:p>
    <w:p>
      <w:pPr>
        <w:pStyle w:val="ListBullet"/>
      </w:pPr>
      <w:r>
        <w:t>Классификация и метрики: https://scikit-learn.org/stable/modules/model_evaluation.html</w:t>
      </w:r>
    </w:p>
    <w:p>
      <w:pPr>
        <w:pStyle w:val="ListBullet"/>
      </w:pPr>
      <w:r>
        <w:t>Материалы занятий 6–8 и словарь полей data_dictionary.csv (выданы преподавателем).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sz w:val="16"/>
      </w:rPr>
      <w:t xml:space="preserve">Методические материалы  •  В. Мазур, доцент ТюмГУ                        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85D77"/>
        <w:sz w:val="16"/>
      </w:rPr>
      <w:t>ТЮМГУ   /   ТЕХНОЛОГИИ ИСКУССТВЕННОГО ИНТЕЛЛЕКТА —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6" w:lineRule="auto"/>
    </w:pPr>
    <w:rPr>
      <w:rFonts w:ascii="Aptos" w:hAnsi="Aptos"/>
      <w:color w:val="1E2B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5D7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5D7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85D77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