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37AB6CB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 xml:space="preserve">) предназначен </w:t>
      </w:r>
      <w:r w:rsidR="00581433" w:rsidRPr="00581433">
        <w:rPr>
          <w:rFonts w:ascii="Calibri" w:eastAsiaTheme="minorHAnsi" w:hAnsi="Calibri" w:cs="Arial"/>
          <w:lang w:eastAsia="en-US"/>
        </w:rPr>
        <w:t>монтажа оборудования формата 19”, для размещения сетевого и серверного оборудования, оборудования для хранения данных</w:t>
      </w:r>
      <w:r w:rsidR="00ED7943">
        <w:rPr>
          <w:rFonts w:ascii="Calibri" w:eastAsiaTheme="minorHAnsi" w:hAnsi="Calibri" w:cs="Arial"/>
          <w:lang w:eastAsia="en-US"/>
        </w:rPr>
        <w:t>,</w:t>
      </w:r>
      <w:r w:rsidR="00581433" w:rsidRPr="00581433">
        <w:rPr>
          <w:rFonts w:ascii="Calibri" w:eastAsiaTheme="minorHAnsi" w:hAnsi="Calibri" w:cs="Arial"/>
          <w:lang w:eastAsia="en-US"/>
        </w:rPr>
        <w:t xml:space="preserve"> защиты цепей электропитания и управления кабельной инфраструктурой</w:t>
      </w:r>
      <w:r w:rsidR="001736BB" w:rsidRPr="00857E15">
        <w:rPr>
          <w:rFonts w:ascii="Calibri" w:eastAsiaTheme="minorHAnsi" w:hAnsi="Calibri" w:cs="Arial"/>
          <w:lang w:eastAsia="en-US"/>
        </w:rPr>
        <w:t>.</w:t>
      </w:r>
      <w:r w:rsidR="000F4851">
        <w:rPr>
          <w:rFonts w:ascii="Calibri" w:eastAsiaTheme="minorHAnsi" w:hAnsi="Calibri" w:cs="Arial"/>
          <w:lang w:eastAsia="en-US"/>
        </w:rPr>
        <w:t xml:space="preserve"> </w:t>
      </w:r>
      <w:r w:rsidR="000F4851" w:rsidRPr="000F4851">
        <w:rPr>
          <w:rFonts w:ascii="Calibri" w:eastAsiaTheme="minorHAnsi" w:hAnsi="Calibri" w:cs="Arial"/>
          <w:lang w:eastAsia="en-US"/>
        </w:rPr>
        <w:t>#ЗАПОЛНЕНИЕ выполнен по ТЗ заказчика.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3E54D4DB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Номинальный ток (In):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6D792F">
        <w:rPr>
          <w:rFonts w:ascii="Calibri" w:eastAsiaTheme="minorHAnsi" w:hAnsi="Calibri" w:cs="Arial"/>
          <w:lang w:eastAsia="en-US"/>
        </w:rPr>
        <w:t xml:space="preserve"> А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3F18F46A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DF1EF2">
        <w:rPr>
          <w:rFonts w:ascii="Calibri" w:eastAsiaTheme="minorHAnsi" w:hAnsi="Calibri" w:cs="Arial"/>
          <w:lang w:val="en-US" w:eastAsia="en-US"/>
        </w:rPr>
        <w:t>IP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4704EF8C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</w:t>
      </w:r>
      <w:r w:rsidR="00604A79" w:rsidRPr="00604A79">
        <w:rPr>
          <w:rFonts w:ascii="Calibri" w:eastAsiaTheme="minorHAnsi" w:hAnsi="Calibri" w:cs="Arial"/>
          <w:lang w:eastAsia="en-US"/>
        </w:rPr>
        <w:t>#УСТАНОВКА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634EB2D4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 xml:space="preserve">Конструктивное исполнение по виду установки – </w:t>
      </w:r>
      <w:r w:rsidR="00EC4FBC" w:rsidRPr="00F04B59">
        <w:rPr>
          <w:rFonts w:ascii="Calibri" w:eastAsiaTheme="minorHAnsi" w:hAnsi="Calibri" w:cs="Arial"/>
          <w:lang w:eastAsia="en-US"/>
        </w:rPr>
        <w:t>#ИСПОЛНЕНИЕ</w:t>
      </w:r>
      <w:r w:rsidRPr="00857E15">
        <w:rPr>
          <w:rFonts w:asciiTheme="minorHAnsi" w:eastAsiaTheme="minorHAnsi" w:hAnsiTheme="minorHAnsi" w:cs="Arial"/>
          <w:lang w:eastAsia="en-US"/>
        </w:rPr>
        <w:t>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 xml:space="preserve">, в комплектации </w:t>
      </w:r>
      <w:proofErr w:type="gramStart"/>
      <w:r w:rsidR="001F141A" w:rsidRPr="00857E15">
        <w:rPr>
          <w:rFonts w:asciiTheme="minorHAnsi" w:eastAsiaTheme="minorHAnsi" w:hAnsiTheme="minorHAnsi" w:cs="Arial"/>
          <w:lang w:eastAsia="en-US"/>
        </w:rPr>
        <w:t>согласно заказа</w:t>
      </w:r>
      <w:proofErr w:type="gramEnd"/>
      <w:r w:rsidR="001F141A" w:rsidRPr="00857E15">
        <w:rPr>
          <w:rFonts w:asciiTheme="minorHAnsi" w:eastAsiaTheme="minorHAnsi" w:hAnsiTheme="minorHAnsi" w:cs="Arial"/>
          <w:lang w:eastAsia="en-US"/>
        </w:rPr>
        <w:t>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76767CF5" w14:textId="0F16348E" w:rsidR="000D080C" w:rsidRDefault="000D080C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Подготовка к работе</w:t>
      </w:r>
    </w:p>
    <w:p w14:paraId="45D9A91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lastRenderedPageBreak/>
        <w:t xml:space="preserve">Перед установкой изделия необходимо ознакомиться с настоящим руководством по эксплуатации, убедиться и проверить: </w:t>
      </w:r>
    </w:p>
    <w:p w14:paraId="4A383AE2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целостность оболочки, рукоятки, шпилек заземления;</w:t>
      </w:r>
    </w:p>
    <w:p w14:paraId="6A37C90A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 xml:space="preserve">надёжность винтовых и болтовых соединений; </w:t>
      </w:r>
    </w:p>
    <w:p w14:paraId="792875C5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наличие оперативных надписей;</w:t>
      </w:r>
    </w:p>
    <w:p w14:paraId="203B1169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1517B2F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61EAD997" w14:textId="362B10E2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сопротивление изоляции токоведущих частей изделий, проверенное мегомметром на 500 В не менее 20 МОм.</w:t>
      </w:r>
    </w:p>
    <w:p w14:paraId="0868E609" w14:textId="5B3E0C9B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05968CD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</w:t>
      </w:r>
      <w:r w:rsidR="003976F6" w:rsidRPr="003976F6">
        <w:t xml:space="preserve"> </w:t>
      </w:r>
      <w:r w:rsidR="003976F6" w:rsidRPr="003976F6">
        <w:rPr>
          <w:rFonts w:asciiTheme="minorHAnsi" w:hAnsiTheme="minorHAnsi" w:cs="Arial"/>
        </w:rPr>
        <w:t>и иметь степень защиты не менее IP#IP</w:t>
      </w:r>
      <w:r w:rsidR="00F92888" w:rsidRPr="00857E15">
        <w:rPr>
          <w:rFonts w:asciiTheme="minorHAnsi" w:hAnsiTheme="minorHAnsi" w:cs="Arial"/>
        </w:rPr>
        <w:t>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9DABC5B" w14:textId="10DAB367" w:rsidR="00E32184" w:rsidRPr="00E32184" w:rsidRDefault="00E32184" w:rsidP="00E32184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Изделие </w:t>
      </w:r>
      <w:r w:rsidRPr="00E32184">
        <w:rPr>
          <w:rFonts w:asciiTheme="minorHAnsi" w:hAnsiTheme="minorHAnsi" w:cs="Arial"/>
        </w:rPr>
        <w:t>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21E1B114" w14:textId="2040073B" w:rsidR="008355AE" w:rsidRPr="008355AE" w:rsidRDefault="008355AE" w:rsidP="008355AE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t>Аппараты</w:t>
      </w:r>
      <w:r w:rsidRPr="008355AE">
        <w:t xml:space="preserve"> </w:t>
      </w:r>
      <w:r w:rsidRPr="008355AE">
        <w:rPr>
          <w:rFonts w:asciiTheme="minorHAnsi" w:hAnsiTheme="minorHAnsi" w:cs="Arial"/>
        </w:rPr>
        <w:t>и приборы, которые не допускают транспортирование установленными в устройство, должны транспортироваться в упаковке завода изготовителя этих приборов. Их монтаж производит потребитель на месте установки НКУ.</w:t>
      </w:r>
    </w:p>
    <w:p w14:paraId="7C70C97B" w14:textId="1964F2D8" w:rsidR="00EC597F" w:rsidRPr="00E32184" w:rsidRDefault="00F8397F" w:rsidP="00AD11A4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</w:t>
      </w:r>
      <w:r w:rsidR="00A156C4" w:rsidRPr="00E32184">
        <w:rPr>
          <w:rFonts w:asciiTheme="minorHAnsi" w:hAnsiTheme="minorHAnsi" w:cs="Arial"/>
        </w:rPr>
        <w:t>ы</w:t>
      </w:r>
      <w:r w:rsidR="00EC597F" w:rsidRPr="00E32184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 w:rsidRPr="00E32184">
        <w:rPr>
          <w:rFonts w:asciiTheme="minorHAnsi" w:hAnsiTheme="minorHAnsi" w:cs="Arial"/>
        </w:rPr>
        <w:t xml:space="preserve"> см. Приложение 1</w:t>
      </w:r>
      <w:r w:rsidR="00EC597F" w:rsidRPr="00E32184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27FCE044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В течение гарантийного срока Изготовитель обязуется осуществлять гарантийный ремонт изделия в случае обнаружения заводского брака</w:t>
      </w:r>
      <w:r w:rsidR="00A2104E">
        <w:rPr>
          <w:rFonts w:asciiTheme="minorHAnsi" w:hAnsiTheme="minorHAnsi" w:cs="Arial"/>
        </w:rPr>
        <w:t xml:space="preserve"> на территории производителя</w:t>
      </w:r>
      <w:r w:rsidRPr="00857E15">
        <w:rPr>
          <w:rFonts w:asciiTheme="minorHAnsi" w:hAnsiTheme="minorHAnsi" w:cs="Arial"/>
        </w:rPr>
        <w:t>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EC03B5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DF1EF2">
              <w:rPr>
                <w:lang w:val="en-US"/>
              </w:rPr>
              <w:t>_</w:t>
            </w:r>
            <w:r w:rsidR="00376EF4">
              <w:rPr>
                <w:lang w:val="en-US"/>
              </w:rPr>
              <w:t>_</w:t>
            </w:r>
            <w:r w:rsidRPr="00857E15">
              <w:t>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4DA51FC3" w14:textId="670FDAD6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BB34" w14:textId="77777777" w:rsidR="00A325E4" w:rsidRDefault="00A325E4" w:rsidP="001F141A">
      <w:r>
        <w:separator/>
      </w:r>
    </w:p>
  </w:endnote>
  <w:endnote w:type="continuationSeparator" w:id="0">
    <w:p w14:paraId="44BE3907" w14:textId="77777777" w:rsidR="00A325E4" w:rsidRDefault="00A325E4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52CB1178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EF4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E008" w14:textId="77777777" w:rsidR="00A325E4" w:rsidRDefault="00A325E4" w:rsidP="001F141A">
      <w:r>
        <w:separator/>
      </w:r>
    </w:p>
  </w:footnote>
  <w:footnote w:type="continuationSeparator" w:id="0">
    <w:p w14:paraId="0143052D" w14:textId="77777777" w:rsidR="00A325E4" w:rsidRDefault="00A325E4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BB"/>
    <w:rsid w:val="00007BC6"/>
    <w:rsid w:val="000377B7"/>
    <w:rsid w:val="000C04BA"/>
    <w:rsid w:val="000D080C"/>
    <w:rsid w:val="000D2111"/>
    <w:rsid w:val="000D76F4"/>
    <w:rsid w:val="000E0E03"/>
    <w:rsid w:val="000E2451"/>
    <w:rsid w:val="000F48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76EF4"/>
    <w:rsid w:val="003976F6"/>
    <w:rsid w:val="003B75BC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100F0"/>
    <w:rsid w:val="00560E74"/>
    <w:rsid w:val="00567358"/>
    <w:rsid w:val="00576C6F"/>
    <w:rsid w:val="00580AFE"/>
    <w:rsid w:val="00581433"/>
    <w:rsid w:val="005A1CC5"/>
    <w:rsid w:val="005B256E"/>
    <w:rsid w:val="005B794B"/>
    <w:rsid w:val="005C36FC"/>
    <w:rsid w:val="005E60EF"/>
    <w:rsid w:val="00604A79"/>
    <w:rsid w:val="0061591A"/>
    <w:rsid w:val="006343B6"/>
    <w:rsid w:val="00644CA3"/>
    <w:rsid w:val="006519F1"/>
    <w:rsid w:val="00665046"/>
    <w:rsid w:val="006D13DD"/>
    <w:rsid w:val="006D792F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355AE"/>
    <w:rsid w:val="008522D1"/>
    <w:rsid w:val="00857E15"/>
    <w:rsid w:val="0088672B"/>
    <w:rsid w:val="008F1C81"/>
    <w:rsid w:val="009153F6"/>
    <w:rsid w:val="009334F4"/>
    <w:rsid w:val="009A522F"/>
    <w:rsid w:val="009B4852"/>
    <w:rsid w:val="009B5AA9"/>
    <w:rsid w:val="009D05C3"/>
    <w:rsid w:val="009D2F33"/>
    <w:rsid w:val="00A07A71"/>
    <w:rsid w:val="00A156C4"/>
    <w:rsid w:val="00A2062C"/>
    <w:rsid w:val="00A2104E"/>
    <w:rsid w:val="00A325E4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4316F"/>
    <w:rsid w:val="00C50CF4"/>
    <w:rsid w:val="00C553A2"/>
    <w:rsid w:val="00C86357"/>
    <w:rsid w:val="00CA3161"/>
    <w:rsid w:val="00CA510D"/>
    <w:rsid w:val="00CD08BD"/>
    <w:rsid w:val="00CD62FE"/>
    <w:rsid w:val="00D26F25"/>
    <w:rsid w:val="00D27813"/>
    <w:rsid w:val="00D707EF"/>
    <w:rsid w:val="00DB76CD"/>
    <w:rsid w:val="00DD3511"/>
    <w:rsid w:val="00DE252A"/>
    <w:rsid w:val="00DF1EF2"/>
    <w:rsid w:val="00DF6F8E"/>
    <w:rsid w:val="00E12FE1"/>
    <w:rsid w:val="00E17C4F"/>
    <w:rsid w:val="00E32184"/>
    <w:rsid w:val="00E83E5D"/>
    <w:rsid w:val="00EC4FBC"/>
    <w:rsid w:val="00EC533F"/>
    <w:rsid w:val="00EC597F"/>
    <w:rsid w:val="00ED7943"/>
    <w:rsid w:val="00EF20EF"/>
    <w:rsid w:val="00F04B59"/>
    <w:rsid w:val="00F10B7F"/>
    <w:rsid w:val="00F2467A"/>
    <w:rsid w:val="00F344F9"/>
    <w:rsid w:val="00F8397F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4FA0-29AB-48DB-8961-637F3797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Чепурина</cp:lastModifiedBy>
  <cp:revision>23</cp:revision>
  <cp:lastPrinted>2018-10-18T06:49:00Z</cp:lastPrinted>
  <dcterms:created xsi:type="dcterms:W3CDTF">2018-10-10T08:47:00Z</dcterms:created>
  <dcterms:modified xsi:type="dcterms:W3CDTF">2024-11-03T08:40:00Z</dcterms:modified>
</cp:coreProperties>
</file>