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Прохождение</w:t>
      </w:r>
      <w:r>
        <w:t xml:space="preserve"> </w:t>
      </w:r>
      <w:r>
        <w:t xml:space="preserve">2-ого</w:t>
      </w:r>
      <w:r>
        <w:t xml:space="preserve"> </w:t>
      </w:r>
      <w:r>
        <w:t xml:space="preserve">раздела</w:t>
      </w:r>
      <w:r>
        <w:t xml:space="preserve"> </w:t>
      </w:r>
      <w:r>
        <w:t xml:space="preserve">курса</w:t>
      </w:r>
      <w:r>
        <w:t xml:space="preserve"> </w:t>
      </w:r>
      <w:r>
        <w:t xml:space="preserve">stepik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освоить Linux.</w:t>
      </w:r>
    </w:p>
    <w:bookmarkEnd w:id="20"/>
    <w:bookmarkStart w:id="93" w:name="выполнение-отче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отчета</w:t>
      </w:r>
    </w:p>
    <w:p>
      <w:pPr>
        <w:pStyle w:val="FirstParagraph"/>
      </w:pPr>
      <w:r>
        <w:t xml:space="preserve">Для каких задач можно использовать удаленный сервер?(рис. 1)</w:t>
      </w:r>
    </w:p>
    <w:p>
      <w:pPr>
        <w:pStyle w:val="CaptionedFigure"/>
      </w:pPr>
      <w:r>
        <w:drawing>
          <wp:inline>
            <wp:extent cx="3733800" cy="3482912"/>
            <wp:effectExtent b="0" l="0" r="0" t="0"/>
            <wp:docPr descr="Использование сервер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2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Использование сервера</w:t>
      </w:r>
    </w:p>
    <w:p>
      <w:pPr>
        <w:pStyle w:val="BodyText"/>
      </w:pPr>
      <w:r>
        <w:t xml:space="preserve">Предположим программа ssh-keygen создала вам два ключа: id_rsa и id_rsa.pub. Какой из этих ключей можно без опаски пересылать по интернету? Ответ: id_rsa.pub (рис. 2)</w:t>
      </w:r>
    </w:p>
    <w:p>
      <w:pPr>
        <w:pStyle w:val="CaptionedFigure"/>
      </w:pPr>
      <w:r>
        <w:drawing>
          <wp:inline>
            <wp:extent cx="3733800" cy="3279250"/>
            <wp:effectExtent b="0" l="0" r="0" t="0"/>
            <wp:docPr descr="Безопасный ключ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Безопасный ключ</w:t>
      </w:r>
    </w:p>
    <w:p>
      <w:pPr>
        <w:pStyle w:val="BodyText"/>
      </w:pPr>
      <w:r>
        <w:t xml:space="preserve">Какая команда скопирует на сервер (в домашнюю директорию) папку stepic вместе с содержимым ее самой и всех ее подпапок? Команда: scp -r stepic username@server:~/ (рис. 3)</w:t>
      </w:r>
    </w:p>
    <w:p>
      <w:pPr>
        <w:pStyle w:val="CaptionedFigure"/>
      </w:pPr>
      <w:r>
        <w:drawing>
          <wp:inline>
            <wp:extent cx="3733800" cy="1804510"/>
            <wp:effectExtent b="0" l="0" r="0" t="0"/>
            <wp:docPr descr="Команда для копирования сервер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для копирования сервера</w:t>
      </w:r>
    </w:p>
    <w:p>
      <w:pPr>
        <w:pStyle w:val="BodyText"/>
      </w:pPr>
      <w:r>
        <w:t xml:space="preserve">Предположим, что вы устанавливаете программу program на свой компьютер при помощи команды sudo apt-get install program. Терминал сообщает вам, что он не может найти и скачать установочный пакет. Какие действия могут устранить проблему? (рис. 4)</w:t>
      </w:r>
    </w:p>
    <w:p>
      <w:pPr>
        <w:pStyle w:val="CaptionedFigure"/>
      </w:pPr>
      <w:r>
        <w:drawing>
          <wp:inline>
            <wp:extent cx="3733800" cy="2756083"/>
            <wp:effectExtent b="0" l="0" r="0" t="0"/>
            <wp:docPr descr="Команды, которые могут устранить проблему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Команды, которые могут устранить проблему</w:t>
      </w:r>
    </w:p>
    <w:p>
      <w:pPr>
        <w:pStyle w:val="BodyText"/>
      </w:pPr>
      <w:r>
        <w:t xml:space="preserve">Программу Filezilla можно использовать для: (рис. 5)</w:t>
      </w:r>
    </w:p>
    <w:p>
      <w:pPr>
        <w:pStyle w:val="CaptionedFigure"/>
      </w:pPr>
      <w:r>
        <w:drawing>
          <wp:inline>
            <wp:extent cx="3733800" cy="2207356"/>
            <wp:effectExtent b="0" l="0" r="0" t="0"/>
            <wp:docPr descr="Можно использовать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Можно использовать</w:t>
      </w:r>
    </w:p>
    <w:p>
      <w:pPr>
        <w:pStyle w:val="BodyText"/>
      </w:pPr>
      <w:r>
        <w:t xml:space="preserve">Если требуется запустить на сервере программу, для работы которой нужен экран, то можно:(рис. 6)</w:t>
      </w:r>
    </w:p>
    <w:p>
      <w:pPr>
        <w:pStyle w:val="CaptionedFigure"/>
      </w:pPr>
      <w:r>
        <w:drawing>
          <wp:inline>
            <wp:extent cx="3733800" cy="2691245"/>
            <wp:effectExtent b="0" l="0" r="0" t="0"/>
            <wp:docPr descr="Действ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Действия</w:t>
      </w:r>
    </w:p>
    <w:p>
      <w:pPr>
        <w:pStyle w:val="BodyText"/>
      </w:pPr>
      <w:r>
        <w:t xml:space="preserve">Справочную информацию о программе program можно вызвать через (рис. 7)</w:t>
      </w:r>
    </w:p>
    <w:p>
      <w:pPr>
        <w:pStyle w:val="CaptionedFigure"/>
      </w:pPr>
      <w:r>
        <w:drawing>
          <wp:inline>
            <wp:extent cx="3733800" cy="2344123"/>
            <wp:effectExtent b="0" l="0" r="0" t="0"/>
            <wp:docPr descr="Вызов информаци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Вызов информации</w:t>
      </w:r>
    </w:p>
    <w:p>
      <w:pPr>
        <w:pStyle w:val="BodyText"/>
      </w:pPr>
      <w:r>
        <w:t xml:space="preserve">Какие форматы данных может принимать на вход FastQC: (рис. 8)</w:t>
      </w:r>
    </w:p>
    <w:p>
      <w:pPr>
        <w:pStyle w:val="CaptionedFigure"/>
      </w:pPr>
      <w:r>
        <w:drawing>
          <wp:inline>
            <wp:extent cx="3733800" cy="3260191"/>
            <wp:effectExtent b="0" l="0" r="0" t="0"/>
            <wp:docPr descr="Форматы данных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Форматы данных</w:t>
      </w:r>
    </w:p>
    <w:p>
      <w:pPr>
        <w:pStyle w:val="BodyText"/>
      </w:pPr>
      <w:r>
        <w:t xml:space="preserve">Команда, которая запускает в терминале Clustal на файле test.fasta и выполняет множественное выравнивание: (рис. 9)</w:t>
      </w:r>
    </w:p>
    <w:p>
      <w:pPr>
        <w:pStyle w:val="CaptionedFigure"/>
      </w:pPr>
      <w:r>
        <w:drawing>
          <wp:inline>
            <wp:extent cx="3733800" cy="1627071"/>
            <wp:effectExtent b="0" l="0" r="0" t="0"/>
            <wp:docPr descr="Команд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</w:t>
      </w:r>
    </w:p>
    <w:p>
      <w:pPr>
        <w:pStyle w:val="BodyText"/>
      </w:pPr>
      <w:r>
        <w:t xml:space="preserve">Предположим мы запустили программы program1, program2 и program3 в фоновом режиме. После этого мы выполнили следующие действия:fg %1 Ctrl+С fg %2 Ctrl+Z jobs</w:t>
      </w:r>
    </w:p>
    <w:p>
      <w:pPr>
        <w:pStyle w:val="BodyText"/>
      </w:pPr>
      <w:r>
        <w:t xml:space="preserve">То,информация о каких программах будет показана при выполнении команды jobs будет только о program2 и program3 (рис. 10)</w:t>
      </w:r>
    </w:p>
    <w:p>
      <w:pPr>
        <w:pStyle w:val="CaptionedFigure"/>
      </w:pPr>
      <w:r>
        <w:drawing>
          <wp:inline>
            <wp:extent cx="3733800" cy="3408739"/>
            <wp:effectExtent b="0" l="0" r="0" t="0"/>
            <wp:docPr descr="program2 и program3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program2 и program3</w:t>
      </w:r>
    </w:p>
    <w:p>
      <w:pPr>
        <w:pStyle w:val="BodyText"/>
      </w:pPr>
      <w:r>
        <w:t xml:space="preserve">jobs, top и ps позволяют отслеживать работу запущенных в терминале программ. В каждой из этих трех утилит для каждой запущенной программы указывается число-идентификатор.Но одинаковые только у ps и top (рис. 11)</w:t>
      </w:r>
    </w:p>
    <w:p>
      <w:pPr>
        <w:pStyle w:val="CaptionedFigure"/>
      </w:pPr>
      <w:r>
        <w:drawing>
          <wp:inline>
            <wp:extent cx="3733800" cy="3169885"/>
            <wp:effectExtent b="0" l="0" r="0" t="0"/>
            <wp:docPr descr="про ps и top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 ps и top</w:t>
      </w:r>
    </w:p>
    <w:p>
      <w:pPr>
        <w:pStyle w:val="BodyText"/>
      </w:pPr>
      <w:r>
        <w:t xml:space="preserve">С помощью какой команды kill -9 можно мгновенно завершить остановленный процесс? (рис. 12)</w:t>
      </w:r>
    </w:p>
    <w:p>
      <w:pPr>
        <w:pStyle w:val="CaptionedFigure"/>
      </w:pPr>
      <w:r>
        <w:drawing>
          <wp:inline>
            <wp:extent cx="3733800" cy="2816171"/>
            <wp:effectExtent b="0" l="0" r="0" t="0"/>
            <wp:docPr descr="команда kill -9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kill -9</w:t>
      </w:r>
    </w:p>
    <w:p>
      <w:pPr>
        <w:pStyle w:val="BodyText"/>
      </w:pPr>
      <w:r>
        <w:t xml:space="preserve">Если использовать kill (без опций) по отношению к процессу, который был приостановлен при помощи Ctrl+Z, то процесс приступит к завершению, как только будет продолжен. (рис. 13)</w:t>
      </w:r>
    </w:p>
    <w:p>
      <w:pPr>
        <w:pStyle w:val="CaptionedFigure"/>
      </w:pPr>
      <w:r>
        <w:drawing>
          <wp:inline>
            <wp:extent cx="3733800" cy="2857100"/>
            <wp:effectExtent b="0" l="0" r="0" t="0"/>
            <wp:docPr descr="Что будет с процессом?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Что будет с процессом?</w:t>
      </w:r>
    </w:p>
    <w:p>
      <w:pPr>
        <w:pStyle w:val="BodyText"/>
      </w:pPr>
      <w:r>
        <w:t xml:space="preserve">Остановленное многопоточное приложение использует 0 % CPU (вычислительных ресурсов центрального процессора).(рис. 14)</w:t>
      </w:r>
    </w:p>
    <w:p>
      <w:pPr>
        <w:pStyle w:val="CaptionedFigure"/>
      </w:pPr>
      <w:r>
        <w:drawing>
          <wp:inline>
            <wp:extent cx="3733800" cy="2817815"/>
            <wp:effectExtent b="0" l="0" r="0" t="0"/>
            <wp:docPr descr="Остановленное многопоточное приложение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Остановленное многопоточное приложение</w:t>
      </w:r>
    </w:p>
    <w:p>
      <w:pPr>
        <w:pStyle w:val="BodyText"/>
      </w:pPr>
      <w:r>
        <w:t xml:space="preserve">Сколько памяти занимает остановленное (по Ctrl+Z) многопоточное приложение? (рис. 15)</w:t>
      </w:r>
    </w:p>
    <w:p>
      <w:pPr>
        <w:pStyle w:val="CaptionedFigure"/>
      </w:pPr>
      <w:r>
        <w:drawing>
          <wp:inline>
            <wp:extent cx="3733800" cy="2106649"/>
            <wp:effectExtent b="0" l="0" r="0" t="0"/>
            <wp:docPr descr="Ответ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Ответ</w:t>
      </w:r>
    </w:p>
    <w:p>
      <w:pPr>
        <w:pStyle w:val="BodyText"/>
      </w:pPr>
      <w:r>
        <w:t xml:space="preserve">Как принудительно завершить один из потоков запущенного многопоточного приложения? Ответ: никак (рис. 16)</w:t>
      </w:r>
    </w:p>
    <w:p>
      <w:pPr>
        <w:pStyle w:val="CaptionedFigure"/>
      </w:pPr>
      <w:r>
        <w:drawing>
          <wp:inline>
            <wp:extent cx="3733800" cy="3288239"/>
            <wp:effectExtent b="0" l="0" r="0" t="0"/>
            <wp:docPr descr="Никак нельзя завершить один из потоков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Никак нельзя завершить один из потоков</w:t>
      </w:r>
    </w:p>
    <w:p>
      <w:pPr>
        <w:pStyle w:val="BodyText"/>
      </w:pPr>
      <w:r>
        <w:t xml:space="preserve">Только bowtie2 можно выполнить в несколько потоков. (рис. 17)</w:t>
      </w:r>
    </w:p>
    <w:p>
      <w:pPr>
        <w:pStyle w:val="CaptionedFigure"/>
      </w:pPr>
      <w:r>
        <w:drawing>
          <wp:inline>
            <wp:extent cx="3733800" cy="3639933"/>
            <wp:effectExtent b="0" l="0" r="0" t="0"/>
            <wp:docPr descr="Можно выполнить в несколько потоков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Можно выполнить в несколько потоков</w:t>
      </w:r>
    </w:p>
    <w:p>
      <w:pPr>
        <w:pStyle w:val="BodyText"/>
      </w:pPr>
      <w:r>
        <w:t xml:space="preserve">Вывод stderr второго этапа (рис. 18)</w:t>
      </w:r>
    </w:p>
    <w:p>
      <w:pPr>
        <w:pStyle w:val="CaptionedFigure"/>
      </w:pPr>
      <w:r>
        <w:drawing>
          <wp:inline>
            <wp:extent cx="3733800" cy="1687061"/>
            <wp:effectExtent b="0" l="0" r="0" t="0"/>
            <wp:docPr descr="Вывод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Вывод</w:t>
      </w:r>
    </w:p>
    <w:p>
      <w:pPr>
        <w:pStyle w:val="BodyText"/>
      </w:pPr>
      <w:r>
        <w:t xml:space="preserve">Вы открыли две вкладки в терминале. В одной из них вы запустили процесс и приостановили его. Переключившись во вторую вкладку и набрав fg, вы добьетесь следующего: (рис. 19)</w:t>
      </w:r>
    </w:p>
    <w:p>
      <w:pPr>
        <w:pStyle w:val="CaptionedFigure"/>
      </w:pPr>
      <w:r>
        <w:drawing>
          <wp:inline>
            <wp:extent cx="3733800" cy="1590598"/>
            <wp:effectExtent b="0" l="0" r="0" t="0"/>
            <wp:docPr descr="Ответ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Ответ</w:t>
      </w:r>
    </w:p>
    <w:p>
      <w:pPr>
        <w:pStyle w:val="BodyText"/>
      </w:pPr>
      <w:r>
        <w:t xml:space="preserve">Предположим, что в tmux осталась последняя открытая вкладка. Что произойдет, если вы введете в этой вкладке в командную строку команду exit, то tmux завершит работу (рис. 20)</w:t>
      </w:r>
    </w:p>
    <w:p>
      <w:pPr>
        <w:pStyle w:val="CaptionedFigure"/>
      </w:pPr>
      <w:r>
        <w:drawing>
          <wp:inline>
            <wp:extent cx="3733800" cy="1819436"/>
            <wp:effectExtent b="0" l="0" r="0" t="0"/>
            <wp:docPr descr="Завершение работы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Завершение работы</w:t>
      </w:r>
    </w:p>
    <w:p>
      <w:pPr>
        <w:pStyle w:val="BodyText"/>
      </w:pPr>
      <w:r>
        <w:t xml:space="preserve">Предположим, что вы открыли терминал, зашли в нем на сервер, запустили на этом сервере tmux и начали работу в нем. Что произойдет, если вы теперь закроете терминал?(рис. 21)</w:t>
      </w:r>
    </w:p>
    <w:p>
      <w:pPr>
        <w:pStyle w:val="CaptionedFigure"/>
      </w:pPr>
      <w:r>
        <w:drawing>
          <wp:inline>
            <wp:extent cx="3733800" cy="2790844"/>
            <wp:effectExtent b="0" l="0" r="0" t="0"/>
            <wp:docPr descr="Работа tmux продолжится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Работа tmux продолжится</w:t>
      </w:r>
    </w:p>
    <w:p>
      <w:pPr>
        <w:pStyle w:val="BodyText"/>
      </w:pPr>
      <w:r>
        <w:t xml:space="preserve">Что произойдет, если запустить процесс в фоновом режиме в одной из вкладок tmux, а затем принудительно закрыть эту вкладку (Ctrl+B, X)?(рис. 22)</w:t>
      </w:r>
    </w:p>
    <w:p>
      <w:pPr>
        <w:pStyle w:val="CaptionedFigure"/>
      </w:pPr>
      <w:r>
        <w:drawing>
          <wp:inline>
            <wp:extent cx="3733800" cy="2501874"/>
            <wp:effectExtent b="0" l="0" r="0" t="0"/>
            <wp:docPr descr="Результат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Результат</w:t>
      </w:r>
    </w:p>
    <w:p>
      <w:pPr>
        <w:pStyle w:val="BodyText"/>
      </w:pPr>
      <w:r>
        <w:t xml:space="preserve">Ctrl+B и , (запятая) отвечает за переименование текущей вкладки. (рис. 23)</w:t>
      </w:r>
    </w:p>
    <w:p>
      <w:pPr>
        <w:pStyle w:val="CaptionedFigure"/>
      </w:pPr>
      <w:r>
        <w:drawing>
          <wp:inline>
            <wp:extent cx="3733800" cy="2812368"/>
            <wp:effectExtent b="0" l="0" r="0" t="0"/>
            <wp:docPr descr="Переименование вкладки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Переименование вкладки</w:t>
      </w:r>
    </w:p>
    <w:p>
      <w:pPr>
        <w:pStyle w:val="BodyText"/>
      </w:pPr>
      <w:r>
        <w:t xml:space="preserve">Дополнительные функции tmux:(рис. 24)</w:t>
      </w:r>
    </w:p>
    <w:p>
      <w:pPr>
        <w:pStyle w:val="CaptionedFigure"/>
      </w:pPr>
      <w:r>
        <w:drawing>
          <wp:inline>
            <wp:extent cx="3733800" cy="3557097"/>
            <wp:effectExtent b="0" l="0" r="0" t="0"/>
            <wp:docPr descr="Дополнительные возможности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Дополнительные возможности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Прохождение 2-ого раздела курса stepik</dc:title>
  <dc:creator>Славинский Владислав Вадимович</dc:creator>
  <dc:language>ru-RU</dc:language>
  <cp:keywords/>
  <dcterms:created xsi:type="dcterms:W3CDTF">2025-05-17T20:37:12Z</dcterms:created>
  <dcterms:modified xsi:type="dcterms:W3CDTF">2025-05-17T20:37:12Z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