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JIRA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TeamCity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Обзор аналогов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используемых технологий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</w:t>
      </w:r>
      <w:r>
        <w:rPr>
          <w:rtl w:val="0"/>
          <w:lang w:val="ru-RU"/>
        </w:rPr>
        <w:t xml:space="preserve">истем отслеживания задач и систем непрерывной интеграции </w:t>
      </w:r>
      <w:r>
        <w:rPr>
          <w:rtl w:val="0"/>
          <w:lang w:val="ru-RU"/>
        </w:rPr>
        <w:t>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Непосредственно перед проектированием </w:t>
      </w:r>
      <w:r>
        <w:rPr>
          <w:rtl w:val="0"/>
          <w:lang w:val="ru-RU"/>
        </w:rPr>
        <w:t xml:space="preserve">средства по обеспечению взаимодействия </w:t>
      </w:r>
      <w:r>
        <w:rPr>
          <w:rtl w:val="0"/>
          <w:lang w:val="ru-RU"/>
        </w:rPr>
        <w:t xml:space="preserve">вышеупомянутых систем имеет смысл оценить текущее состояние </w:t>
      </w:r>
      <w:r>
        <w:rPr>
          <w:rtl w:val="0"/>
          <w:lang w:val="ru-RU"/>
        </w:rPr>
        <w:t>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выяснить положительные и отрицательные стороны для каждой отдельной системы и проанализировать </w:t>
      </w:r>
      <w:r>
        <w:rPr>
          <w:rtl w:val="0"/>
          <w:lang w:val="ru-RU"/>
        </w:rPr>
        <w:t>способы</w:t>
      </w:r>
      <w:r>
        <w:rPr>
          <w:rtl w:val="0"/>
          <w:lang w:val="ru-RU"/>
        </w:rPr>
        <w:t xml:space="preserve">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1.1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D0%252525252525259A%25252525252525D1%2525252525252580%25252525252525D0%25252525252525BE%25252525252525D1%2525252525252581%25252525252525D1%2525252525252581%25252525252525D0%25252525252525BF%25252525252525D0%25252525252525BB%25252525252525D0%25252525252525B0%25252525252525D1%2525252525252582%25252525252525D1%2525252525252584%25252525252525D0%25252525252525BE%25252525252525D1%2525252525252580%25252525252525D0%25252525252525BC%25252525252525D0%25252525252525B5%25252525252525D0%25252525252525BD%25252525252525D0%25252525252525BD%25252525252525D0%25252525252525BE%25252525252525D0%25252525252525B5_%25252525252525D0%25252525252525BF%25252525252525D1%2525252525252580%25252525252525D0%25252525252525BE%25252525252525D0%25252525252525B3%25252525252525D1%2525252525252580%25252525252525D0%25252525252525B0%25252525252525D0%25252525252525BC%25252525252525D0%25252525252525BC%25252525252525D0%25252525252525BD%25252525252525D0%25252525252525BE%25252525252525D0%25252525252525B5_%25252525252525D0%25252525252525BE%25252525252525D0%25252525252525B1%25252525252525D0%25252525252525B5%25252525252525D1%2525252525252581%25252525252525D0%25252525252525BF%25252525252525D0%25252525252525B5%25252525252525D1%2525252525252587%25252525252525D0%25252525252525B5%25252525252525D0%25252525252525BD%25252525252525D0%25252525252525B8%25252525252525D0%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D0%25252525252525A1%25252525252525D0%25252525252525B8%25252525252525D1%2525252525252581%25252525252525D1%2525252525252582%25252525252525D0%25252525252525B5%25252525252525D0%25252525252525BC%25252525252525D0%25252525252525B0_%25252525252525D0%25252525252525BC%25252525252525D0%25252525252525B3%25252525252525D0%25252525252525BD%25252525252525D0%25252525252525BE%25252525252525D0%25252525252525B2%25252525252525D0%25252525252525B5%25252525252525D0%25252525252525BD%25252525252525D0%25252525252525BD%25252525252525D0%25252525252525BE%25252525252525D0%25252525252525B3%25252525252525D0%25252525252525BE_%25252525252525D0%25252525252525BE%25252525252525D0%25252525252525B1%25252525252525D0%25252525252525BC%25252525252525D0%25252525252525B5%25252525252525D0%25252525252525BD%25252525252525D0%25252525252525B0_%25252525252525D1%2525252525252581%25252525252525D0%25252525252525BE%25252525252525D0%25252525252525BE%25252525252525D0%25252525252525B1%25252525252525D1%2525252525252589%25252525252525D0%25252525252525B5%25252525252525D0%25252525252525BD%25252525252525D0%25252525252525B8%25252525252525D1%252525252525258F%25252525252525D0%25252525252525BC%25252525252525D0%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[5].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3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[6]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системе есть множество готовых шаблонов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отличающихся невероятно широкими возможностями персонализации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она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— нерешенные высокоприоритетные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среднее время решения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</w:p>
    <w:p>
      <w:pPr>
        <w:pStyle w:val="Normal.0"/>
      </w:pPr>
      <w:r>
        <w:rPr>
          <w:rtl w:val="0"/>
        </w:rPr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Форматом обмена данными с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ru-RU"/>
        </w:rPr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для всего остального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tab/>
      </w:r>
      <w:r>
        <w:rPr>
          <w:rtl w:val="0"/>
        </w:rPr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>HTTPS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Base64).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устраняющие </w:t>
      </w:r>
      <w:r>
        <w:rPr>
          <w:rtl w:val="0"/>
          <w:lang w:val="ru-RU"/>
        </w:rPr>
        <w:t>необходимост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 xml:space="preserve">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[8-10].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[8].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</w:t>
      </w:r>
      <w:r>
        <w:rPr>
          <w:rtl w:val="0"/>
          <w:lang w:val="en-US"/>
        </w:rPr>
        <w:t>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&lt;dependency&gt;</w:t>
      </w:r>
    </w:p>
    <w:p>
      <w:pPr>
        <w:pStyle w:val="Code"/>
      </w:pPr>
      <w:r>
        <w:rPr>
          <w:lang w:val="ru-RU"/>
        </w:rPr>
        <w:tab/>
        <w:tab/>
      </w:r>
      <w:r>
        <w:rPr>
          <w:rtl w:val="0"/>
          <w:lang w:val="en-US"/>
        </w:rPr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&lt;scope&gt;compile&lt;/scope&gt;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и редактировани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</w:t>
      </w:r>
      <w:r>
        <w:rPr>
          <w:rtl w:val="0"/>
          <w:lang w:val="ru-RU"/>
        </w:rPr>
        <w:t>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[9].</w:t>
      </w:r>
    </w:p>
    <w:p>
      <w:pPr>
        <w:pStyle w:val="Text"/>
      </w:pPr>
      <w:r>
        <w:tab/>
      </w:r>
      <w:r>
        <w:rPr>
          <w:rtl w:val="0"/>
          <w:lang w:val="en-US"/>
        </w:rPr>
        <w:t>L</w:t>
      </w:r>
      <w:r>
        <w:rPr>
          <w:rtl w:val="0"/>
          <w:lang w:val="en-US"/>
        </w:rPr>
        <w:t>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tl w:val="0"/>
          <w:lang w:val="ru-RU"/>
        </w:rPr>
        <w:t xml:space="preserve">указания </w:t>
      </w:r>
      <w:r>
        <w:rPr>
          <w:rtl w:val="0"/>
          <w:lang w:val="ru-RU"/>
        </w:rPr>
        <w:t xml:space="preserve">затраченного на задачу времени </w:t>
      </w:r>
      <w:r>
        <w:rPr>
          <w:rtl w:val="0"/>
          <w:lang w:val="en-US"/>
        </w:rPr>
        <w:t>[10]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4"/>
    </w:p>
    <w:p>
      <w:pPr>
        <w:pStyle w:val="Normal.0"/>
      </w:pP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>1.4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5"/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используемых технологий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D0%252525252525252525A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D0%252525252525252525A0%252525252525252525D0%252525252525252525B0%252525252525252525D0%252525252525252525B7%252525252525252525D1%25252525252525252580%252525252525252525D0%252525252525252525B0%252525252525252525D0%252525252525252525B1%252525252525252525D0%252525252525252525BE%252525252525252525D1%25252525252525252582%252525252525252525D0%252525252525252525BA%252525252525252525D0%252525252525252525B0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1%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D0%2525252525252525259C%252525252525252525D0%252525252525252525BE%252525252525252525D0%252525252525252525B4%252525252525252525D1%25252525252525252583%252525252525252525D0%252525252525252525BB%252525252525252525D1%2525252525252525258C%252525252525252525D0%252525252525252525BD%252525252525252525D0%252525252525252525BE%252525252525252525D0%252525252525252525B5_%252525252525252525D1%25252525252525252582%252525252525252525D0%252525252525252525B5%252525252525252525D1%25252525252525252581%252525252525252525D1%25252525252525252582%252525252525252525D0%252525252525252525B8%252525252525252525D1%25252525252525252580%252525252525252525D0%252525252525252525BE%252525252525252525D0%252525252525252525B2%252525252525252525D0%252525252525252525B0%252525252525252525D0%252525252525252525BD%252525252525252525D0%252525252525252525B8%252525252525252525D0%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мессенджер</w:t>
      </w:r>
      <w:r>
        <w:rPr>
          <w:rtl w:val="0"/>
          <w:lang w:val="ru-RU"/>
        </w:rPr>
        <w:t>)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D0%25252525252525BC%25252525252525D0%25252525252525B5%25252525252525D1%2525252525252581%25252525252525D1%2525252525252581%25252525252525D0%25252525252525B5%25252525252525D0%25252525252525BD%25252525252525D0%25252525252525B4%25252525252525D0%25252525252525B6%25252525252525D0%25252525252525B5%25252525252525D1%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15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23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