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D0%252525252525252525259A%25252525252525252525D1%2525252525252525252580%25252525252525252525D0%25252525252525252525BE%25252525252525252525D1%2525252525252525252581%25252525252525252525D1%2525252525252525252581%25252525252525252525D0%25252525252525252525BF%25252525252525252525D0%25252525252525252525BB%25252525252525252525D0%25252525252525252525B0%25252525252525252525D1%2525252525252525252582%25252525252525252525D1%2525252525252525252584%25252525252525252525D0%25252525252525252525BE%25252525252525252525D1%2525252525252525252580%25252525252525252525D0%25252525252525252525BC%25252525252525252525D0%25252525252525252525B5%25252525252525252525D0%25252525252525252525BD%25252525252525252525D0%25252525252525252525BD%25252525252525252525D0%25252525252525252525BE%25252525252525252525D0%25252525252525252525B5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5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0%25252525252525252525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D0%25252525252525252525A1%25252525252525252525D0%25252525252525252525B8%25252525252525252525D1%2525252525252525252581%25252525252525252525D1%2525252525252525252582%25252525252525252525D0%25252525252525252525B5%25252525252525252525D0%25252525252525252525BC%25252525252525252525D0%25252525252525252525B0_%25252525252525252525D0%25252525252525252525BC%25252525252525252525D0%25252525252525252525B3%25252525252525252525D0%25252525252525252525BD%25252525252525252525D0%25252525252525252525BE%25252525252525252525D0%25252525252525252525B2%25252525252525252525D0%25252525252525252525B5%25252525252525252525D0%25252525252525252525BD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C%25252525252525252525D0%25252525252525252525B5%25252525252525252525D0%25252525252525252525BD%25252525252525252525D0%25252525252525252525B0_%25252525252525252525D1%2525252525252525252581%25252525252525252525D0%25252525252525252525BE%25252525252525252525D0%25252525252525252525BE%25252525252525252525D0%25252525252525252525B1%25252525252525252525D1%2525252525252525252589%25252525252525252525D0%25252525252525252525B5%25252525252525252525D0%25252525252525252525BD%25252525252525252525D0%25252525252525252525B8%25252525252525252525D1%252525252525252525258F%25252525252525252525D0%25252525252525252525BC%25252525252525252525D0%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</w:t>
      </w:r>
      <w:r>
        <w:rPr>
          <w:rtl w:val="0"/>
          <w:lang w:val="ru-RU"/>
        </w:rPr>
        <w:t>отметить</w:t>
      </w:r>
      <w:r>
        <w:rPr>
          <w:rtl w:val="0"/>
          <w:lang w:val="ru-RU"/>
        </w:rPr>
        <w:t xml:space="preserve"> следу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 w:hint="default"/>
          <w:rtl w:val="0"/>
        </w:rPr>
        <w:t>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 w:hint="default"/>
          <w:rtl w:val="0"/>
        </w:rPr>
        <w:t>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 w:hint="default"/>
          <w:rtl w:val="0"/>
        </w:rPr>
        <w:t>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риложение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</w:p>
    <w:p>
      <w:pPr>
        <w:pStyle w:val="Normal.0"/>
      </w:pPr>
      <w:r>
        <w:rPr>
          <w:rtl w:val="0"/>
          <w:lang w:val="en-US"/>
        </w:rPr>
        <w:tab/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</w:t>
      </w:r>
      <w:r>
        <w:rPr>
          <w:rtl w:val="0"/>
          <w:lang w:val="ru-RU"/>
        </w:rPr>
        <w:t xml:space="preserve">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app/rest. </w:t>
      </w:r>
      <w:r>
        <w:rPr>
          <w:rtl w:val="0"/>
          <w:lang w:val="ru-RU"/>
        </w:rPr>
        <w:t>Корневой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формирования запроса по множеству критериев </w:t>
      </w:r>
      <w:r>
        <w:rPr>
          <w:rtl w:val="0"/>
          <w:lang w:val="ru-RU"/>
        </w:rPr>
        <w:t>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HttpAuthenticationFeature.basicBuilder()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 xml:space="preserve">                </w:t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Text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ходе дипломного проекта планируется разработать </w:t>
      </w:r>
      <w:r>
        <w:rPr>
          <w:shd w:val="clear" w:color="auto" w:fill="ffffff"/>
          <w:rtl w:val="0"/>
          <w:lang w:val="ru-RU"/>
        </w:rPr>
        <w:t>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</w:t>
      </w:r>
      <w:r>
        <w:rPr>
          <w:shd w:val="clear" w:color="auto" w:fill="ffffff"/>
          <w:rtl w:val="0"/>
          <w:lang w:val="ru-RU"/>
        </w:rPr>
        <w:t xml:space="preserve">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 xml:space="preserve">JIRA </w:t>
      </w:r>
      <w:r>
        <w:rPr>
          <w:shd w:val="clear" w:color="auto" w:fill="ffffff"/>
          <w:rtl w:val="0"/>
          <w:lang w:val="ru-RU"/>
        </w:rPr>
        <w:t xml:space="preserve">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</w:t>
      </w:r>
      <w:r>
        <w:rPr>
          <w:rtl w:val="0"/>
          <w:lang w:val="ru-RU"/>
        </w:rPr>
        <w:t>на</w:t>
      </w:r>
      <w:r>
        <w:rPr>
          <w:rtl w:val="0"/>
          <w:lang w:val="ru-RU"/>
        </w:rPr>
        <w:t xml:space="preserve">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будет использована библиотека </w:t>
      </w:r>
      <w:r>
        <w:rPr>
          <w:rtl w:val="0"/>
          <w:lang w:val="ru-RU"/>
        </w:rPr>
        <w:t>rcarz/jira-client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 xml:space="preserve">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252525252525252525252525D0%252525252525252525252525A2%252525252525252525252525D0%252525252525252525252525B5%252525252525252525252525D1%25252525252525252525252581%252525252525252525252525D1%25252525252525252525252582%252525252525252525252525D0%252525252525252525252525B8%252525252525252525252525D1%25252525252525252525252580%252525252525252525252525D0%252525252525252525252525BE%252525252525252525252525D0%252525252525252525252525B2%252525252525252525252525D0%252525252525252525252525B0%252525252525252525252525D0%252525252525252525252525BD%252525252525252525252525D0%252525252525252525252525B8%252525252525252525252525D0%252525252525252525252525B5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1%2525252525252525252525258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252525252525252525252525D0%252525252525252525252525A0%252525252525252525252525D0%252525252525252525252525B0%252525252525252525252525D0%252525252525252525252525B7%252525252525252525252525D1%25252525252525252525252580%252525252525252525252525D0%252525252525252525252525B0%252525252525252525252525D0%252525252525252525252525B1%252525252525252525252525D0%252525252525252525252525BE%252525252525252525252525D1%25252525252525252525252582%252525252525252525252525D0%252525252525252525252525BA%252525252525252525252525D0%252525252525252525252525B0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1%2525252525252525252525258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252525252525252525252525D0%2525252525252525252525259C%252525252525252525252525D0%252525252525252525252525BE%252525252525252525252525D0%252525252525252525252525B4%252525252525252525252525D1%25252525252525252525252583%252525252525252525252525D0%252525252525252525252525BB%252525252525252525252525D1%2525252525252525252525258C%252525252525252525252525D0%252525252525252525252525BD%252525252525252525252525D0%252525252525252525252525BE%252525252525252525252525D0%252525252525252525252525B5_%252525252525252525252525D1%25252525252525252525252582%252525252525252525252525D0%252525252525252525252525B5%252525252525252525252525D1%25252525252525252525252581%252525252525252525252525D1%25252525252525252525252582%252525252525252525252525D0%252525252525252525252525B8%252525252525252525252525D1%25252525252525252525252580%252525252525252525252525D0%252525252525252525252525BE%252525252525252525252525D0%252525252525252525252525B2%252525252525252525252525D0%252525252525252525252525B0%252525252525252525252525D0%252525252525252525252525BD%252525252525252525252525D0%252525252525252525252525B8%252525252525252525252525D0%252525252525252525252525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 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25252525252525252525D0%25252525252525252525BC%25252525252525252525D0%25252525252525252525B5%25252525252525252525D1%2525252525252525252581%25252525252525252525D1%2525252525252525252581%25252525252525252525D0%25252525252525252525B5%25252525252525252525D0%25252525252525252525BD%25252525252525252525D0%25252525252525252525B4%25252525252525252525D0%25252525252525252525B6%25252525252525252525D0%25252525252525252525B5%25252525252525252525D1%2525252525252525252580)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"https://ru.atlassian.com/software/jira/comparison%25252523!jira-ibm-rational-clearquest"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"https://confluence.jetbrains.com/display/TCD10/REST+API"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confluence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jetbrains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display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TCD</w:t>
      </w:r>
      <w:r>
        <w:rPr>
          <w:rStyle w:val="None"/>
          <w:color w:val="0000ff"/>
          <w:u w:val="single" w:color="0000ff"/>
          <w:rtl w:val="0"/>
          <w:lang w:val="ru-RU"/>
        </w:rPr>
        <w:t>10/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+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"https://jersey.java.net"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jersey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java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29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