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Министерство образования Республики Беларусь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Учреждение образования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БЕЛОРУССКИЙ ГОСУДАРСТВЕННЫЙ УНИВЕРСИТЕТ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ИНФОРМАТИКИ И РАДИОЭЛЕКТРОНИКИ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Факультет компьютерных систем и сетей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Кафедра электронных вычислительных машин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 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Отчет по преддипломной практике</w:t>
      </w: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Студент</w:t>
        <w:tab/>
        <w:tab/>
        <w:tab/>
        <w:tab/>
        <w:tab/>
        <w:tab/>
        <w:tab/>
        <w:tab/>
        <w:tab/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Соловцов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Руководитель</w:t>
        <w:tab/>
        <w:tab/>
        <w:tab/>
        <w:tab/>
        <w:tab/>
        <w:tab/>
        <w:tab/>
        <w:tab/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Соловцов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Консультант от кафедры ЭВМ</w:t>
        <w:tab/>
        <w:tab/>
        <w:tab/>
        <w:tab/>
        <w:tab/>
        <w:t>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Кучук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Нормоконтролер</w:t>
        <w:tab/>
        <w:tab/>
        <w:tab/>
        <w:tab/>
        <w:tab/>
        <w:tab/>
        <w:tab/>
        <w:tab/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Сидорович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center"/>
      </w:pPr>
      <w:r>
        <w:rPr>
          <w:sz w:val="28"/>
          <w:szCs w:val="28"/>
          <w:rtl w:val="0"/>
          <w:lang w:val="ru-RU"/>
        </w:rPr>
        <w:t xml:space="preserve">МИНСК </w:t>
      </w:r>
      <w:r>
        <w:rPr>
          <w:sz w:val="28"/>
          <w:szCs w:val="28"/>
          <w:rtl w:val="0"/>
          <w:lang w:val="ru-RU"/>
        </w:rPr>
        <w:t>2017</w:t>
      </w:r>
    </w:p>
    <w:sectPr>
      <w:headerReference w:type="default" r:id="rId4"/>
      <w:footerReference w:type="default" r:id="rId5"/>
      <w:pgSz w:w="11900" w:h="16840" w:orient="portrait"/>
      <w:pgMar w:top="1134" w:right="851" w:bottom="1531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