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8"/>
          <w:szCs w:val="28"/>
        </w:rPr>
      </w:pPr>
      <w:r w:rsidDel="00000000" w:rsidR="00000000" w:rsidRPr="00000000">
        <w:rPr>
          <w:sz w:val="28"/>
          <w:szCs w:val="28"/>
          <w:rtl w:val="0"/>
        </w:rPr>
        <w:t xml:space="preserve">Міністерство освіти і науки України</w:t>
      </w:r>
    </w:p>
    <w:p w:rsidR="00000000" w:rsidDel="00000000" w:rsidP="00000000" w:rsidRDefault="00000000" w:rsidRPr="00000000" w14:paraId="00000002">
      <w:pPr>
        <w:spacing w:line="360" w:lineRule="auto"/>
        <w:jc w:val="center"/>
        <w:rPr>
          <w:sz w:val="28"/>
          <w:szCs w:val="28"/>
        </w:rPr>
      </w:pPr>
      <w:r w:rsidDel="00000000" w:rsidR="00000000" w:rsidRPr="00000000">
        <w:rPr>
          <w:sz w:val="28"/>
          <w:szCs w:val="28"/>
          <w:rtl w:val="0"/>
        </w:rPr>
        <w:t xml:space="preserve">Карпатський національний університет</w:t>
      </w:r>
    </w:p>
    <w:p w:rsidR="00000000" w:rsidDel="00000000" w:rsidP="00000000" w:rsidRDefault="00000000" w:rsidRPr="00000000" w14:paraId="00000003">
      <w:pPr>
        <w:spacing w:line="360" w:lineRule="auto"/>
        <w:jc w:val="center"/>
        <w:rPr>
          <w:sz w:val="28"/>
          <w:szCs w:val="28"/>
        </w:rPr>
      </w:pPr>
      <w:r w:rsidDel="00000000" w:rsidR="00000000" w:rsidRPr="00000000">
        <w:rPr>
          <w:sz w:val="28"/>
          <w:szCs w:val="28"/>
          <w:rtl w:val="0"/>
        </w:rPr>
        <w:t xml:space="preserve">імені В.Стефаника</w:t>
      </w:r>
    </w:p>
    <w:p w:rsidR="00000000" w:rsidDel="00000000" w:rsidP="00000000" w:rsidRDefault="00000000" w:rsidRPr="00000000" w14:paraId="00000004">
      <w:pPr>
        <w:spacing w:line="360" w:lineRule="auto"/>
        <w:jc w:val="center"/>
        <w:rPr>
          <w:sz w:val="28"/>
          <w:szCs w:val="28"/>
        </w:rPr>
      </w:pPr>
      <w:r w:rsidDel="00000000" w:rsidR="00000000" w:rsidRPr="00000000">
        <w:rPr>
          <w:rtl w:val="0"/>
        </w:rPr>
      </w:r>
    </w:p>
    <w:p w:rsidR="00000000" w:rsidDel="00000000" w:rsidP="00000000" w:rsidRDefault="00000000" w:rsidRPr="00000000" w14:paraId="00000005">
      <w:pPr>
        <w:spacing w:line="360" w:lineRule="auto"/>
        <w:jc w:val="center"/>
        <w:rPr>
          <w:sz w:val="28"/>
          <w:szCs w:val="28"/>
        </w:rPr>
      </w:pPr>
      <w:r w:rsidDel="00000000" w:rsidR="00000000" w:rsidRPr="00000000">
        <w:rPr>
          <w:rtl w:val="0"/>
        </w:rPr>
      </w:r>
    </w:p>
    <w:p w:rsidR="00000000" w:rsidDel="00000000" w:rsidP="00000000" w:rsidRDefault="00000000" w:rsidRPr="00000000" w14:paraId="00000006">
      <w:pPr>
        <w:spacing w:line="360" w:lineRule="auto"/>
        <w:jc w:val="center"/>
        <w:rPr>
          <w:sz w:val="28"/>
          <w:szCs w:val="28"/>
        </w:rPr>
      </w:pPr>
      <w:r w:rsidDel="00000000" w:rsidR="00000000" w:rsidRPr="00000000">
        <w:rPr>
          <w:sz w:val="28"/>
          <w:szCs w:val="28"/>
          <w:rtl w:val="0"/>
        </w:rPr>
        <w:t xml:space="preserve">Факультет математики та інформатики</w:t>
      </w:r>
    </w:p>
    <w:p w:rsidR="00000000" w:rsidDel="00000000" w:rsidP="00000000" w:rsidRDefault="00000000" w:rsidRPr="00000000" w14:paraId="00000007">
      <w:pPr>
        <w:spacing w:line="360" w:lineRule="auto"/>
        <w:jc w:val="center"/>
        <w:rPr>
          <w:sz w:val="28"/>
          <w:szCs w:val="28"/>
        </w:rPr>
      </w:pPr>
      <w:r w:rsidDel="00000000" w:rsidR="00000000" w:rsidRPr="00000000">
        <w:rPr>
          <w:sz w:val="28"/>
          <w:szCs w:val="28"/>
          <w:rtl w:val="0"/>
        </w:rPr>
        <w:t xml:space="preserve">Кафедра інформаційних технологій</w:t>
      </w:r>
    </w:p>
    <w:p w:rsidR="00000000" w:rsidDel="00000000" w:rsidP="00000000" w:rsidRDefault="00000000" w:rsidRPr="00000000" w14:paraId="00000008">
      <w:pPr>
        <w:spacing w:line="360" w:lineRule="auto"/>
        <w:jc w:val="center"/>
        <w:rPr>
          <w:sz w:val="28"/>
          <w:szCs w:val="28"/>
        </w:rPr>
      </w:pPr>
      <w:r w:rsidDel="00000000" w:rsidR="00000000" w:rsidRPr="00000000">
        <w:rPr>
          <w:rtl w:val="0"/>
        </w:rPr>
      </w:r>
    </w:p>
    <w:p w:rsidR="00000000" w:rsidDel="00000000" w:rsidP="00000000" w:rsidRDefault="00000000" w:rsidRPr="00000000" w14:paraId="00000009">
      <w:pPr>
        <w:spacing w:line="360" w:lineRule="auto"/>
        <w:jc w:val="center"/>
        <w:rPr>
          <w:sz w:val="28"/>
          <w:szCs w:val="28"/>
        </w:rPr>
      </w:pPr>
      <w:r w:rsidDel="00000000" w:rsidR="00000000" w:rsidRPr="00000000">
        <w:rPr>
          <w:sz w:val="28"/>
          <w:szCs w:val="28"/>
          <w:rtl w:val="0"/>
        </w:rPr>
        <w:t xml:space="preserve">Інформатика і програмування</w:t>
      </w:r>
    </w:p>
    <w:p w:rsidR="00000000" w:rsidDel="00000000" w:rsidP="00000000" w:rsidRDefault="00000000" w:rsidRPr="00000000" w14:paraId="0000000A">
      <w:pPr>
        <w:spacing w:line="360" w:lineRule="auto"/>
        <w:jc w:val="center"/>
        <w:rPr>
          <w:sz w:val="28"/>
          <w:szCs w:val="28"/>
        </w:rPr>
      </w:pPr>
      <w:r w:rsidDel="00000000" w:rsidR="00000000" w:rsidRPr="00000000">
        <w:rPr>
          <w:rtl w:val="0"/>
        </w:rPr>
      </w:r>
    </w:p>
    <w:p w:rsidR="00000000" w:rsidDel="00000000" w:rsidP="00000000" w:rsidRDefault="00000000" w:rsidRPr="00000000" w14:paraId="0000000B">
      <w:pPr>
        <w:spacing w:line="360" w:lineRule="auto"/>
        <w:jc w:val="center"/>
        <w:rPr>
          <w:sz w:val="28"/>
          <w:szCs w:val="28"/>
        </w:rPr>
      </w:pPr>
      <w:r w:rsidDel="00000000" w:rsidR="00000000" w:rsidRPr="00000000">
        <w:rPr>
          <w:sz w:val="28"/>
          <w:szCs w:val="28"/>
          <w:rtl w:val="0"/>
        </w:rPr>
        <w:t xml:space="preserve">Лабораторна робота No 2</w:t>
      </w:r>
    </w:p>
    <w:p w:rsidR="00000000" w:rsidDel="00000000" w:rsidP="00000000" w:rsidRDefault="00000000" w:rsidRPr="00000000" w14:paraId="0000000C">
      <w:pPr>
        <w:spacing w:line="360" w:lineRule="auto"/>
        <w:jc w:val="center"/>
        <w:rPr>
          <w:sz w:val="28"/>
          <w:szCs w:val="28"/>
        </w:rPr>
      </w:pPr>
      <w:r w:rsidDel="00000000" w:rsidR="00000000" w:rsidRPr="00000000">
        <w:rPr>
          <w:rtl w:val="0"/>
        </w:rPr>
      </w:r>
    </w:p>
    <w:p w:rsidR="00000000" w:rsidDel="00000000" w:rsidP="00000000" w:rsidRDefault="00000000" w:rsidRPr="00000000" w14:paraId="0000000D">
      <w:pPr>
        <w:spacing w:line="360" w:lineRule="auto"/>
        <w:jc w:val="center"/>
        <w:rPr>
          <w:sz w:val="28"/>
          <w:szCs w:val="28"/>
        </w:rPr>
      </w:pPr>
      <w:r w:rsidDel="00000000" w:rsidR="00000000" w:rsidRPr="00000000">
        <w:rPr>
          <w:sz w:val="28"/>
          <w:szCs w:val="28"/>
          <w:rtl w:val="0"/>
        </w:rPr>
        <w:t xml:space="preserve">Тема: Manage Subscriptions and RBAC</w:t>
      </w:r>
    </w:p>
    <w:p w:rsidR="00000000" w:rsidDel="00000000" w:rsidP="00000000" w:rsidRDefault="00000000" w:rsidRPr="00000000" w14:paraId="0000000E">
      <w:pPr>
        <w:spacing w:line="2400" w:lineRule="auto"/>
        <w:jc w:val="center"/>
        <w:rPr>
          <w:sz w:val="28"/>
          <w:szCs w:val="28"/>
        </w:rPr>
      </w:pPr>
      <w:r w:rsidDel="00000000" w:rsidR="00000000" w:rsidRPr="00000000">
        <w:rPr>
          <w:rtl w:val="0"/>
        </w:rPr>
      </w:r>
    </w:p>
    <w:p w:rsidR="00000000" w:rsidDel="00000000" w:rsidP="00000000" w:rsidRDefault="00000000" w:rsidRPr="00000000" w14:paraId="0000000F">
      <w:pPr>
        <w:jc w:val="right"/>
        <w:rPr>
          <w:sz w:val="28"/>
          <w:szCs w:val="28"/>
        </w:rPr>
      </w:pPr>
      <w:r w:rsidDel="00000000" w:rsidR="00000000" w:rsidRPr="00000000">
        <w:rPr>
          <w:sz w:val="28"/>
          <w:szCs w:val="28"/>
          <w:rtl w:val="0"/>
        </w:rPr>
        <w:t xml:space="preserve">Виконав: Прокутко В.В</w:t>
      </w:r>
    </w:p>
    <w:p w:rsidR="00000000" w:rsidDel="00000000" w:rsidP="00000000" w:rsidRDefault="00000000" w:rsidRPr="00000000" w14:paraId="00000010">
      <w:pPr>
        <w:jc w:val="right"/>
        <w:rPr>
          <w:sz w:val="28"/>
          <w:szCs w:val="28"/>
        </w:rPr>
      </w:pPr>
      <w:r w:rsidDel="00000000" w:rsidR="00000000" w:rsidRPr="00000000">
        <w:rPr>
          <w:sz w:val="28"/>
          <w:szCs w:val="28"/>
          <w:rtl w:val="0"/>
        </w:rPr>
        <w:t xml:space="preserve">Група ІПЗ-43</w:t>
      </w:r>
    </w:p>
    <w:p w:rsidR="00000000" w:rsidDel="00000000" w:rsidP="00000000" w:rsidRDefault="00000000" w:rsidRPr="00000000" w14:paraId="00000011">
      <w:pPr>
        <w:jc w:val="right"/>
        <w:rPr>
          <w:sz w:val="28"/>
          <w:szCs w:val="28"/>
        </w:rPr>
      </w:pPr>
      <w:r w:rsidDel="00000000" w:rsidR="00000000" w:rsidRPr="00000000">
        <w:rPr>
          <w:sz w:val="28"/>
          <w:szCs w:val="28"/>
          <w:rtl w:val="0"/>
        </w:rPr>
        <w:t xml:space="preserve">Дата: 12 грудня 2025</w:t>
      </w:r>
    </w:p>
    <w:p w:rsidR="00000000" w:rsidDel="00000000" w:rsidP="00000000" w:rsidRDefault="00000000" w:rsidRPr="00000000" w14:paraId="00000012">
      <w:pPr>
        <w:jc w:val="right"/>
        <w:rPr>
          <w:sz w:val="28"/>
          <w:szCs w:val="28"/>
        </w:rPr>
      </w:pPr>
      <w:r w:rsidDel="00000000" w:rsidR="00000000" w:rsidRPr="00000000">
        <w:rPr>
          <w:sz w:val="28"/>
          <w:szCs w:val="28"/>
          <w:rtl w:val="0"/>
        </w:rPr>
        <w:t xml:space="preserve">Викладач: Поварчук Д.Д</w:t>
      </w:r>
    </w:p>
    <w:p w:rsidR="00000000" w:rsidDel="00000000" w:rsidP="00000000" w:rsidRDefault="00000000" w:rsidRPr="00000000" w14:paraId="00000013">
      <w:pPr>
        <w:spacing w:line="1200" w:lineRule="auto"/>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Івано-Франківськ – 2025</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0" w:before="480" w:line="312" w:lineRule="auto"/>
        <w:rPr>
          <w:color w:val="222222"/>
          <w:sz w:val="34"/>
          <w:szCs w:val="34"/>
        </w:rPr>
      </w:pPr>
      <w:bookmarkStart w:colFirst="0" w:colLast="0" w:name="_ivob4ftkfqw5" w:id="0"/>
      <w:bookmarkEnd w:id="0"/>
      <w:r w:rsidDel="00000000" w:rsidR="00000000" w:rsidRPr="00000000">
        <w:rPr>
          <w:color w:val="222222"/>
          <w:sz w:val="34"/>
          <w:szCs w:val="34"/>
          <w:rtl w:val="0"/>
        </w:rPr>
        <w:t xml:space="preserve">Task 1: Implement Management Groups</w:t>
      </w:r>
    </w:p>
    <w:p w:rsidR="00000000" w:rsidDel="00000000" w:rsidP="00000000" w:rsidRDefault="00000000" w:rsidRPr="00000000" w14:paraId="00000017">
      <w:pPr>
        <w:shd w:fill="ffffff" w:val="clear"/>
        <w:spacing w:before="240" w:lineRule="auto"/>
        <w:rPr>
          <w:color w:val="222222"/>
          <w:sz w:val="24"/>
          <w:szCs w:val="24"/>
        </w:rPr>
      </w:pPr>
      <w:r w:rsidDel="00000000" w:rsidR="00000000" w:rsidRPr="00000000">
        <w:rPr>
          <w:color w:val="222222"/>
          <w:sz w:val="24"/>
          <w:szCs w:val="24"/>
          <w:rtl w:val="0"/>
        </w:rPr>
        <w:t xml:space="preserve">In this task, you will create and configure management groups. Management groups are used to logically organize and segment subscriptions. They allow for RBAC and Azure Policy to be assigned and inherited to other management groups and subscriptions. For example, if your organization has a dedicated support team for Europe, you can organize European subscriptions into a management group to provide the support staff access to those subscriptions (without providing individual access to all subscriptions). In our scenario everyone at the Help Desk will need to create a support request across all subscriptions.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3086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hd w:fill="ffffff" w:val="clear"/>
        <w:spacing w:after="0" w:before="480" w:line="312" w:lineRule="auto"/>
        <w:rPr>
          <w:color w:val="222222"/>
          <w:sz w:val="34"/>
          <w:szCs w:val="34"/>
        </w:rPr>
      </w:pPr>
      <w:bookmarkStart w:colFirst="0" w:colLast="0" w:name="_gqqeulxhyv0r" w:id="1"/>
      <w:bookmarkEnd w:id="1"/>
      <w:r w:rsidDel="00000000" w:rsidR="00000000" w:rsidRPr="00000000">
        <w:rPr>
          <w:color w:val="222222"/>
          <w:sz w:val="34"/>
          <w:szCs w:val="34"/>
          <w:rtl w:val="0"/>
        </w:rPr>
        <w:t xml:space="preserve">Task 2: Review and assign a built-in Azure role</w:t>
      </w:r>
    </w:p>
    <w:p w:rsidR="00000000" w:rsidDel="00000000" w:rsidP="00000000" w:rsidRDefault="00000000" w:rsidRPr="00000000" w14:paraId="0000001D">
      <w:pPr>
        <w:shd w:fill="ffffff" w:val="clear"/>
        <w:spacing w:before="240" w:lineRule="auto"/>
        <w:rPr>
          <w:color w:val="222222"/>
          <w:sz w:val="24"/>
          <w:szCs w:val="24"/>
        </w:rPr>
      </w:pPr>
      <w:r w:rsidDel="00000000" w:rsidR="00000000" w:rsidRPr="00000000">
        <w:rPr>
          <w:color w:val="222222"/>
          <w:sz w:val="24"/>
          <w:szCs w:val="24"/>
          <w:rtl w:val="0"/>
        </w:rPr>
        <w:t xml:space="preserve">In this task, you will review the built-in roles and assign the VM Contributor role to a member of the Help Desk. Azure provides a large number of </w:t>
      </w:r>
      <w:hyperlink r:id="rId7">
        <w:r w:rsidDel="00000000" w:rsidR="00000000" w:rsidRPr="00000000">
          <w:rPr>
            <w:color w:val="0050c5"/>
            <w:sz w:val="24"/>
            <w:szCs w:val="24"/>
            <w:rtl w:val="0"/>
          </w:rPr>
          <w:t xml:space="preserve">built-in roles</w:t>
        </w:r>
      </w:hyperlink>
      <w:r w:rsidDel="00000000" w:rsidR="00000000" w:rsidRPr="00000000">
        <w:rPr>
          <w:color w:val="222222"/>
          <w:sz w:val="24"/>
          <w:szCs w:val="24"/>
          <w:rtl w:val="0"/>
        </w:rPr>
        <w:t xml:space="preserve">.</w:t>
      </w:r>
    </w:p>
    <w:p w:rsidR="00000000" w:rsidDel="00000000" w:rsidP="00000000" w:rsidRDefault="00000000" w:rsidRPr="00000000" w14:paraId="0000001E">
      <w:pPr>
        <w:rPr/>
      </w:pPr>
      <w:r w:rsidDel="00000000" w:rsidR="00000000" w:rsidRPr="00000000">
        <w:rPr/>
        <w:drawing>
          <wp:inline distB="114300" distT="114300" distL="114300" distR="114300">
            <wp:extent cx="5731200" cy="17907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shd w:fill="ffffff" w:val="clear"/>
        <w:spacing w:after="0" w:before="480" w:line="312" w:lineRule="auto"/>
        <w:rPr>
          <w:color w:val="222222"/>
          <w:sz w:val="34"/>
          <w:szCs w:val="34"/>
        </w:rPr>
      </w:pPr>
      <w:bookmarkStart w:colFirst="0" w:colLast="0" w:name="_ef7sry4puel3" w:id="2"/>
      <w:bookmarkEnd w:id="2"/>
      <w:r w:rsidDel="00000000" w:rsidR="00000000" w:rsidRPr="00000000">
        <w:rPr>
          <w:color w:val="222222"/>
          <w:sz w:val="34"/>
          <w:szCs w:val="34"/>
          <w:rtl w:val="0"/>
        </w:rPr>
        <w:t xml:space="preserve">Task 3: Create a custom RBAC role</w:t>
      </w:r>
    </w:p>
    <w:p w:rsidR="00000000" w:rsidDel="00000000" w:rsidP="00000000" w:rsidRDefault="00000000" w:rsidRPr="00000000" w14:paraId="00000020">
      <w:pPr>
        <w:shd w:fill="ffffff" w:val="clear"/>
        <w:spacing w:before="240" w:lineRule="auto"/>
        <w:rPr>
          <w:color w:val="222222"/>
          <w:sz w:val="24"/>
          <w:szCs w:val="24"/>
        </w:rPr>
      </w:pPr>
      <w:r w:rsidDel="00000000" w:rsidR="00000000" w:rsidRPr="00000000">
        <w:rPr>
          <w:color w:val="222222"/>
          <w:sz w:val="24"/>
          <w:szCs w:val="24"/>
          <w:rtl w:val="0"/>
        </w:rPr>
        <w:t xml:space="preserve">In this task, you will create a custom RBAC role. Custom roles are a core part of implementing the principle of least privilege for an environment. Built-in roles might have too many permissions for your scenario. We will also create a new role and remove permissions that are not necessary. Do you have a plan for managing overlapping permissions?</w:t>
      </w:r>
    </w:p>
    <w:p w:rsidR="00000000" w:rsidDel="00000000" w:rsidP="00000000" w:rsidRDefault="00000000" w:rsidRPr="00000000" w14:paraId="00000021">
      <w:pPr>
        <w:rPr/>
      </w:pPr>
      <w:r w:rsidDel="00000000" w:rsidR="00000000" w:rsidRPr="00000000">
        <w:rPr/>
        <w:drawing>
          <wp:inline distB="114300" distT="114300" distL="114300" distR="114300">
            <wp:extent cx="5731200" cy="11430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keepNext w:val="0"/>
        <w:keepLines w:val="0"/>
        <w:shd w:fill="ffffff" w:val="clear"/>
        <w:spacing w:after="0" w:before="480" w:line="312" w:lineRule="auto"/>
        <w:rPr>
          <w:color w:val="222222"/>
          <w:sz w:val="34"/>
          <w:szCs w:val="34"/>
        </w:rPr>
      </w:pPr>
      <w:bookmarkStart w:colFirst="0" w:colLast="0" w:name="_rq7uckolhqua" w:id="3"/>
      <w:bookmarkEnd w:id="3"/>
      <w:r w:rsidDel="00000000" w:rsidR="00000000" w:rsidRPr="00000000">
        <w:rPr>
          <w:color w:val="222222"/>
          <w:sz w:val="34"/>
          <w:szCs w:val="34"/>
          <w:rtl w:val="0"/>
        </w:rPr>
        <w:t xml:space="preserve">Task 4: Monitor role assignments with the Activity Log</w:t>
      </w:r>
    </w:p>
    <w:p w:rsidR="00000000" w:rsidDel="00000000" w:rsidP="00000000" w:rsidRDefault="00000000" w:rsidRPr="00000000" w14:paraId="00000023">
      <w:pPr>
        <w:shd w:fill="ffffff" w:val="clear"/>
        <w:spacing w:before="240" w:lineRule="auto"/>
        <w:rPr>
          <w:color w:val="222222"/>
          <w:sz w:val="24"/>
          <w:szCs w:val="24"/>
        </w:rPr>
      </w:pPr>
      <w:r w:rsidDel="00000000" w:rsidR="00000000" w:rsidRPr="00000000">
        <w:rPr>
          <w:color w:val="222222"/>
          <w:sz w:val="24"/>
          <w:szCs w:val="24"/>
          <w:rtl w:val="0"/>
        </w:rPr>
        <w:t xml:space="preserve">In this task, you view the activity log to determine if anyone has created a new role.</w:t>
      </w:r>
    </w:p>
    <w:p w:rsidR="00000000" w:rsidDel="00000000" w:rsidP="00000000" w:rsidRDefault="00000000" w:rsidRPr="00000000" w14:paraId="00000024">
      <w:pPr>
        <w:numPr>
          <w:ilvl w:val="0"/>
          <w:numId w:val="1"/>
        </w:numPr>
        <w:shd w:fill="ffffff" w:val="clear"/>
        <w:spacing w:after="0" w:afterAutospacing="0" w:before="240" w:lineRule="auto"/>
        <w:ind w:left="720" w:hanging="360"/>
      </w:pPr>
      <w:r w:rsidDel="00000000" w:rsidR="00000000" w:rsidRPr="00000000">
        <w:rPr>
          <w:color w:val="222222"/>
          <w:sz w:val="24"/>
          <w:szCs w:val="24"/>
          <w:rtl w:val="0"/>
        </w:rPr>
        <w:t xml:space="preserve">In the portal locate the az104-mg1 resource and select Activity log. The activity log provides insight into subscription-level events.</w:t>
      </w:r>
    </w:p>
    <w:p w:rsidR="00000000" w:rsidDel="00000000" w:rsidP="00000000" w:rsidRDefault="00000000" w:rsidRPr="00000000" w14:paraId="00000025">
      <w:pPr>
        <w:numPr>
          <w:ilvl w:val="0"/>
          <w:numId w:val="1"/>
        </w:numPr>
        <w:shd w:fill="ffffff" w:val="clear"/>
        <w:spacing w:after="240" w:before="0" w:beforeAutospacing="0" w:lineRule="auto"/>
        <w:ind w:left="720" w:hanging="360"/>
      </w:pPr>
      <w:r w:rsidDel="00000000" w:rsidR="00000000" w:rsidRPr="00000000">
        <w:rPr>
          <w:color w:val="222222"/>
          <w:sz w:val="24"/>
          <w:szCs w:val="24"/>
          <w:rtl w:val="0"/>
        </w:rPr>
        <w:t xml:space="preserve">Review the activites for role assignments. The activity log can be filtered for specific operations.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30861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learn.microsoft.com/azure/role-based-access-control/built-in-roles"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