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Fonts w:ascii="Times New Roman" w:hAnsi="Times New Roman"/>
          <w:b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/>
          <w:b/>
          <w:sz w:val="32"/>
          <w:szCs w:val="32"/>
        </w:rPr>
        <w:t>Внутренний информационный портал</w:t>
      </w:r>
    </w:p>
    <w:p>
      <w:pPr>
        <w:pStyle w:val="NoSpacing"/>
        <w:jc w:val="center"/>
        <w:rPr>
          <w:rFonts w:ascii="Times New Roman" w:hAnsi="Times New Roman"/>
          <w:b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«</w:t>
      </w:r>
      <w:bookmarkStart w:id="1" w:name="_Hlk130379769"/>
      <w:r>
        <w:rPr>
          <w:rFonts w:ascii="Times New Roman" w:hAnsi="Times New Roman"/>
          <w:b/>
          <w:sz w:val="32"/>
          <w:szCs w:val="32"/>
          <w:lang w:val="en-US"/>
        </w:rPr>
        <w:t>Supplier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Qualification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US"/>
        </w:rPr>
        <w:t>Portal</w:t>
      </w:r>
      <w:bookmarkEnd w:id="1"/>
      <w:r>
        <w:rPr>
          <w:rFonts w:ascii="Times New Roman" w:hAnsi="Times New Roman"/>
          <w:b/>
          <w:sz w:val="32"/>
          <w:szCs w:val="32"/>
        </w:rPr>
        <w:t>»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ascii="Times New Roman" w:hAnsi="Times New Roman"/>
          <w:sz w:val="24"/>
          <w:szCs w:val="24"/>
        </w:rPr>
        <w:t>Проектирование, разработка и администрирование информационного портала: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Карташов </w:t>
      </w:r>
      <w:r>
        <w:rPr>
          <w:rFonts w:ascii="Times New Roman" w:hAnsi="Times New Roman"/>
          <w:sz w:val="24"/>
          <w:szCs w:val="24"/>
          <w:lang w:val="ru-RU"/>
        </w:rPr>
        <w:t>В</w:t>
      </w:r>
      <w:r>
        <w:rPr>
          <w:rFonts w:ascii="Times New Roman" w:hAnsi="Times New Roman"/>
          <w:sz w:val="24"/>
          <w:szCs w:val="24"/>
          <w:lang w:val="ru-RU"/>
        </w:rPr>
        <w:t>ладисл</w:t>
      </w:r>
      <w:r>
        <w:rPr>
          <w:rFonts w:ascii="Times New Roman" w:hAnsi="Times New Roman"/>
          <w:sz w:val="24"/>
          <w:szCs w:val="24"/>
          <w:lang w:val="ru-RU"/>
        </w:rPr>
        <w:t xml:space="preserve">ав </w:t>
      </w:r>
      <w:r>
        <w:rPr>
          <w:rFonts w:ascii="Times New Roman" w:hAnsi="Times New Roman"/>
          <w:sz w:val="24"/>
          <w:szCs w:val="24"/>
          <w:lang w:val="ru-RU"/>
        </w:rPr>
        <w:t>Н</w:t>
      </w:r>
      <w:r>
        <w:rPr>
          <w:rFonts w:ascii="Times New Roman" w:hAnsi="Times New Roman"/>
          <w:sz w:val="24"/>
          <w:szCs w:val="24"/>
          <w:lang w:val="ru-RU"/>
        </w:rPr>
        <w:t>икит</w:t>
      </w:r>
      <w:r>
        <w:rPr>
          <w:rFonts w:ascii="Times New Roman" w:hAnsi="Times New Roman"/>
          <w:sz w:val="24"/>
          <w:szCs w:val="24"/>
          <w:lang w:val="ru-RU"/>
        </w:rPr>
        <w:t>ич.</w:t>
      </w:r>
    </w:p>
    <w:p>
      <w:pPr>
        <w:pStyle w:val="Normal"/>
        <w:jc w:val="both"/>
        <w:rPr>
          <w:rFonts w:ascii="Times New Roman" w:hAnsi="Times New Roman"/>
          <w:b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1. Назначение и описание внутреннего информационного портала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Целью разработки данного информационного портала стало решение о необходимости консолидации документов и информации по поставщикам в части деятельности общества по аттестации (на основании методики компании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>) и по проведению аудитов достоверности данных (на основании методики ГК Росатом).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обществе осуществляется деятельность по коммерческой и продуктовой аттестации поставщиков. В процессе проведения аттестации по каждому поставщику подготавливается следующий комплект документов, в состав которого входят: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опросные листы;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директивы;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сертификаты;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планы аудитов;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формы</w:t>
      </w:r>
      <w:r>
        <w:rPr>
          <w:rFonts w:ascii="Times New Roman" w:hAnsi="Times New Roman"/>
          <w:sz w:val="24"/>
          <w:szCs w:val="24"/>
          <w:lang w:val="en-US"/>
        </w:rPr>
        <w:t xml:space="preserve"> FMEA, MPP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Control Plan;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отчёты по аудитам;</w:t>
      </w:r>
    </w:p>
    <w:p>
      <w:pPr>
        <w:pStyle w:val="ListParagraph"/>
        <w:numPr>
          <w:ilvl w:val="0"/>
          <w:numId w:val="1"/>
        </w:numPr>
        <w:spacing w:lineRule="auto" w:line="240" w:before="0" w:after="6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отчёты по выполнению корректирующих действий;</w:t>
      </w:r>
    </w:p>
    <w:p>
      <w:pPr>
        <w:pStyle w:val="ListParagraph"/>
        <w:numPr>
          <w:ilvl w:val="0"/>
          <w:numId w:val="1"/>
        </w:numPr>
        <w:spacing w:lineRule="auto" w:line="240" w:before="0" w:after="120"/>
        <w:ind w:left="851" w:hanging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дорожные карты и планы по развитию поставщика.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Дополнительно для каждого поставщика по результатам аттестации определяется аттестационный уровень, и фиксируется статус по выполнению корректирующих действий.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аналогии, данная работа осуществляется и по процессу АДД поставщиков с подготовкой необходимых документов.</w:t>
      </w:r>
    </w:p>
    <w:p>
      <w:pPr>
        <w:pStyle w:val="Normal"/>
        <w:spacing w:lineRule="auto" w:line="240" w:before="0" w:after="120"/>
        <w:jc w:val="both"/>
        <w:rPr/>
      </w:pPr>
      <w:r>
        <w:rPr>
          <w:rFonts w:ascii="Times New Roman" w:hAnsi="Times New Roman"/>
          <w:sz w:val="24"/>
          <w:szCs w:val="24"/>
        </w:rPr>
        <w:t xml:space="preserve">Вся имеющаяся документация и информация по аттестации и АДД </w:t>
      </w:r>
      <w:r>
        <w:rPr>
          <w:rFonts w:ascii="Times New Roman" w:hAnsi="Times New Roman"/>
          <w:sz w:val="24"/>
          <w:szCs w:val="24"/>
        </w:rPr>
        <w:t>структурировано</w:t>
      </w:r>
      <w:r>
        <w:rPr>
          <w:rFonts w:ascii="Times New Roman" w:hAnsi="Times New Roman"/>
          <w:sz w:val="24"/>
          <w:szCs w:val="24"/>
        </w:rPr>
        <w:t xml:space="preserve"> размещается в отдельных разделах информационного портала, что систематизирует работу с поставщиками в обществе.    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Размещаемые на информационном портале данные вносятся на английском языке. Это выполняется для удобства демонстрирования информации иностранным заказчикам и аудиторам со стороны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 xml:space="preserve">, а также в соответствии с требованиями контракта на поставку оборудования в части отчетности.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проведенных аудитов общества со стороны </w:t>
      </w:r>
      <w:r>
        <w:rPr>
          <w:rFonts w:ascii="Times New Roman" w:hAnsi="Times New Roman"/>
          <w:sz w:val="24"/>
          <w:szCs w:val="24"/>
          <w:lang w:val="en-US"/>
        </w:rPr>
        <w:t>General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Electric</w:t>
      </w:r>
      <w:r>
        <w:rPr>
          <w:rFonts w:ascii="Times New Roman" w:hAnsi="Times New Roman"/>
          <w:sz w:val="24"/>
          <w:szCs w:val="24"/>
        </w:rPr>
        <w:t>, RAOS и Fennovoima, аудиторам была продемонстрирована работа информационного портала в части подтверждения выполнения требований по аттестации согласно условиям договоров на поставку оборудования для АЭС.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 стороны аудиторов работа с порталом была оценена положительно и предложено развивать данное направление в обществе, что было отмечено в отчётах по аудитам.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технологий и программного обеспечения используемого при разработке информационного портала: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Python 3.7; Django 2.2; SQLite; HTML5; CSS3; JavaScript; ReactJS; JSON; Git;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Visual Studio 2019; Visual Studio Code. </w:t>
      </w:r>
    </w:p>
    <w:p>
      <w:pPr>
        <w:pStyle w:val="Normal"/>
        <w:jc w:val="both"/>
        <w:rPr>
          <w:rFonts w:ascii="Times New Roman" w:hAnsi="Times New Roman"/>
          <w:b/>
          <w:b/>
          <w:sz w:val="28"/>
          <w:szCs w:val="28"/>
          <w:u w:val="single"/>
          <w:lang w:val="en-US"/>
        </w:rPr>
      </w:pP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2. </w:t>
      </w:r>
      <w:r>
        <w:rPr>
          <w:rFonts w:ascii="Times New Roman" w:hAnsi="Times New Roman"/>
          <w:b/>
          <w:sz w:val="28"/>
          <w:szCs w:val="28"/>
          <w:u w:val="single"/>
        </w:rPr>
        <w:t>Структура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внутреннего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информационного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</w:rPr>
        <w:t>портала</w:t>
      </w:r>
      <w:r>
        <w:rPr>
          <w:rFonts w:ascii="Times New Roman" w:hAnsi="Times New Roman"/>
          <w:b/>
          <w:sz w:val="28"/>
          <w:szCs w:val="28"/>
          <w:u w:val="single"/>
          <w:lang w:val="en-US"/>
        </w:rPr>
        <w:t xml:space="preserve">  </w: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Информационный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портал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состоит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из</w:t>
      </w:r>
      <w:r>
        <w:rPr>
          <w:rFonts w:ascii="Times New Roman" w:hAnsi="Times New Roman"/>
          <w:sz w:val="24"/>
          <w:szCs w:val="24"/>
          <w:lang w:val="en-US"/>
        </w:rPr>
        <w:t xml:space="preserve"> 6-</w:t>
      </w:r>
      <w:r>
        <w:rPr>
          <w:rFonts w:ascii="Times New Roman" w:hAnsi="Times New Roman"/>
          <w:sz w:val="24"/>
          <w:szCs w:val="24"/>
        </w:rPr>
        <w:t>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основных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разделов</w:t>
      </w:r>
      <w:r>
        <w:rPr>
          <w:rFonts w:ascii="Times New Roman" w:hAnsi="Times New Roman"/>
          <w:sz w:val="24"/>
          <w:szCs w:val="24"/>
          <w:lang w:val="en-US"/>
        </w:rPr>
        <w:t>: Main Page, Qualification status, Audit schedule, Qualification process, Data reliability audit (</w:t>
      </w:r>
      <w:r>
        <w:rPr>
          <w:rFonts w:ascii="Times New Roman" w:hAnsi="Times New Roman"/>
          <w:sz w:val="24"/>
          <w:szCs w:val="24"/>
        </w:rPr>
        <w:t>Аудит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достоверности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данных</w:t>
      </w:r>
      <w:r>
        <w:rPr>
          <w:rFonts w:ascii="Times New Roman" w:hAnsi="Times New Roman"/>
          <w:sz w:val="24"/>
          <w:szCs w:val="24"/>
          <w:lang w:val="en-US"/>
        </w:rPr>
        <w:t xml:space="preserve">), List of qualification specialists </w:t>
      </w:r>
      <w:r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разделов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администрированию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портала</w:t>
      </w:r>
      <w:r>
        <w:rPr>
          <w:rFonts w:ascii="Times New Roman" w:hAnsi="Times New Roman"/>
          <w:sz w:val="24"/>
          <w:szCs w:val="24"/>
          <w:lang w:val="en-US"/>
        </w:rPr>
        <w:t xml:space="preserve">.   </w:t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2.1 </w:t>
      </w:r>
      <w:r>
        <w:rPr>
          <w:rFonts w:ascii="Times New Roman" w:hAnsi="Times New Roman"/>
          <w:b/>
          <w:sz w:val="24"/>
          <w:szCs w:val="24"/>
          <w:lang w:val="en-US"/>
        </w:rPr>
        <w:t>Main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  <w:lang w:val="en-US"/>
        </w:rPr>
        <w:t>Page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Основная страница с новостным блоком. В данном разделе представлена новостная информация о проведенных аудитах / аттестациях поставщиков, а также информация о пройдённых тренингах и обучениях работниками общества, которые отвечают за процессы аттестации и АДД.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Рис.1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76200" distL="0" distR="0">
                <wp:extent cx="5848985" cy="4210685"/>
                <wp:effectExtent l="0" t="0" r="0" b="0"/>
                <wp:docPr id="1" name="Рисунок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5848200" cy="4210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2" stroked="f" style="position:absolute;margin-left:0pt;margin-top:-337.55pt;width:460.45pt;height:331.45pt;mso-position-vertical:top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  <w:bookmarkStart w:id="2" w:name="_Hlk130387508"/>
      <w:bookmarkEnd w:id="2"/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2.2 Qualification status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странице представлен реестр с записями о квалификационных статусах поставщиков, для которых был проведен процесс аттестации. В каждой записи указывается наименование поставщика с текущим аттестационным статусом и датами действия статусов. Информационная надпись с датой действия статуса автоматически меняет свой цвет (для улучшения визуализации) по истечению срока действия. Надпись с информацией о статусе также имеет соответствующий цвет в зависимости от условия.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Каждая отдельная запись является ссылкой для открытия страницы по конкретному поставщику.</w:t>
      </w:r>
      <w:bookmarkStart w:id="3" w:name="_Hlk130398490"/>
      <w:bookmarkEnd w:id="3"/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2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868035" cy="4677410"/>
                <wp:effectExtent l="0" t="0" r="0" b="0"/>
                <wp:docPr id="2" name="Рисунок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8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5867280" cy="467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8" stroked="f" style="position:absolute;margin-left:0pt;margin-top:-368.3pt;width:461.95pt;height:368.2pt;mso-position-vertical:top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по конкретному поставщику содержит следующую информацию: общие данные о деятельности поставщика и поставляемой продукции; 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>
        <w:rPr>
          <w:rFonts w:ascii="Times New Roman" w:hAnsi="Times New Roman"/>
          <w:sz w:val="24"/>
          <w:szCs w:val="24"/>
        </w:rPr>
        <w:t>); данные представителей организации; текущие статусы аттестации; сведения о датах по проведенным аудитам и команде аудиторов; а также ссылки для скачивания отчетных документов по аттестации.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Рис.3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68060" cy="4639310"/>
                <wp:effectExtent l="0" t="0" r="0" b="0"/>
                <wp:docPr id="3" name="Рисунок 1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7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6067440" cy="4638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7" stroked="f" style="position:absolute;margin-left:0pt;margin-top:-365.3pt;width:477.7pt;height:365.2pt;mso-position-vertical:top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 xml:space="preserve">* - названия поставщиков и оборудования на данных рисунках изменены.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ind w:left="709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2.3 Audit schedule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в табличном формате содержит информацию о планах на год по проведению АДД (на основании данных ГПЗ) и по проведению аттестационных аудитов (на основании планов по закупкам) для различных проектов общества.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858510" cy="4191635"/>
                <wp:effectExtent l="0" t="0" r="0" b="0"/>
                <wp:docPr id="4" name="Рисунок 1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13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857920" cy="4191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3" stroked="f" style="position:absolute;margin-left:0pt;margin-top:-330.05pt;width:461.2pt;height:329.95pt;mso-position-vertical:top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Spacing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>* - названия проектов и оборудования на данном рисунке изменены</w:t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2.4 Qualification process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 содержит информацию о статусах выполнения корректирующих мероприятий по замечаниям, выявленным в ходе проведенных аттестационных аудитов. Для наглядности статусы отображаются в виде гистограммы. 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</w: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/>
        <mc:AlternateContent>
          <mc:Choice Requires="wps">
            <w:drawing>
              <wp:inline distT="0" distB="0" distL="0" distR="0">
                <wp:extent cx="5934710" cy="4705985"/>
                <wp:effectExtent l="0" t="0" r="0" b="0"/>
                <wp:docPr id="5" name="Рисунок 1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14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5934240" cy="4705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4" stroked="f" style="position:absolute;margin-left:0pt;margin-top:-370.55pt;width:467.2pt;height:370.45pt;mso-position-vertical:top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i/>
          <w:i/>
          <w:color w:val="7030A0"/>
          <w:sz w:val="24"/>
          <w:szCs w:val="24"/>
        </w:rPr>
      </w:pPr>
      <w:r>
        <w:rPr>
          <w:rFonts w:ascii="Times New Roman" w:hAnsi="Times New Roman"/>
          <w:i/>
          <w:color w:val="7030A0"/>
          <w:sz w:val="24"/>
          <w:szCs w:val="24"/>
        </w:rPr>
        <w:t>* - названия поставщиков, проектов и оборудования на данном рисунке изменены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2.5 АДД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странице представлен реестр с записями по проведенным в обществе АДД для поставщиков с соответствующей информацией. Каждая отдельная запись является ссылкой для открытия страницы по конкретному поставщику с результатами АДД.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 странице (в верхней части) имеется ссылка для перехода в </w:t>
      </w:r>
      <w:bookmarkStart w:id="4" w:name="_Hlk130404607"/>
      <w:r>
        <w:rPr>
          <w:rFonts w:ascii="Times New Roman" w:hAnsi="Times New Roman"/>
          <w:sz w:val="24"/>
          <w:szCs w:val="24"/>
        </w:rPr>
        <w:t>реестр аудиторов АДД общества</w:t>
      </w:r>
      <w:bookmarkEnd w:id="4"/>
      <w:r>
        <w:rPr>
          <w:rFonts w:ascii="Times New Roman" w:hAnsi="Times New Roman"/>
          <w:sz w:val="24"/>
          <w:szCs w:val="24"/>
        </w:rPr>
        <w:t xml:space="preserve">.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6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877560" cy="5248910"/>
                <wp:effectExtent l="0" t="0" r="0" b="0"/>
                <wp:docPr id="6" name="Рисунок 1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16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877000" cy="5248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6" stroked="f" style="position:absolute;margin-left:0pt;margin-top:-413.3pt;width:462.7pt;height:413.2pt;mso-position-vertical:top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по конкретному поставщику содержит следующую информацию: общие данные о деятельности поставщика; контакты (адрес, телефон, е-</w:t>
      </w:r>
      <w:r>
        <w:rPr>
          <w:rFonts w:ascii="Times New Roman" w:hAnsi="Times New Roman"/>
          <w:sz w:val="24"/>
          <w:szCs w:val="24"/>
          <w:lang w:val="en-US"/>
        </w:rPr>
        <w:t>mail</w:t>
      </w:r>
      <w:r>
        <w:rPr>
          <w:rFonts w:ascii="Times New Roman" w:hAnsi="Times New Roman"/>
          <w:sz w:val="24"/>
          <w:szCs w:val="24"/>
        </w:rPr>
        <w:t>); результаты АДД; сведения о команде аудиторов; а также ссылки для скачивания отчетных документов по АДД.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7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868035" cy="4182110"/>
                <wp:effectExtent l="0" t="0" r="0" b="0"/>
                <wp:docPr id="7" name="Рисунок 1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18" descr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867280" cy="4181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8" stroked="f" style="position:absolute;margin-left:0pt;margin-top:-329.3pt;width:461.95pt;height:329.2pt;mso-position-vertical:top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Страница с реестром аудиторов АДД общества.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8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01385" cy="3067685"/>
                <wp:effectExtent l="0" t="0" r="0" b="0"/>
                <wp:docPr id="8" name="Рисунок 1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15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000840" cy="306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5" stroked="f" style="position:absolute;margin-left:0pt;margin-top:-241.55pt;width:472.45pt;height:241.45pt;mso-position-vertical:top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2.6 List of qualification specialists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 содержит информацию о работниках отдела аттестации в обязанности которых входит организация и проведение аттестаций поставщиков и АДД. Указывается информация о рабочих обязанностях, опыте и полученных сертификатах (с возможностью их скачивания)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9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5906135" cy="5315585"/>
                <wp:effectExtent l="0" t="0" r="0" b="0"/>
                <wp:docPr id="9" name="Рисунок 2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22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05440" cy="53150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22" stroked="f" style="position:absolute;margin-left:0pt;margin-top:-418.55pt;width:464.95pt;height:418.45pt;mso-position-vertical:top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2.7 Администрирование информационного портала </w:t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Администрирование информационного портала осуществляется в подготовленной панели Django Admin, а также в дополнительно разработанных разделах портала. Вход пользователей в данные разделы осуществляется по логину и паролю.     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10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039485" cy="2791460"/>
                <wp:effectExtent l="0" t="0" r="0" b="0"/>
                <wp:docPr id="10" name="Рисунок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Рисунок 3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039000" cy="2790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3" stroked="f" style="position:absolute;margin-left:0pt;margin-top:-219.8pt;width:475.45pt;height:219.7pt;mso-position-vertical:top" type="shapetype_75">
                <v:imagedata r:id="rId1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11</w:t>
      </w:r>
    </w:p>
    <w:p>
      <w:pPr>
        <w:pStyle w:val="Normal"/>
        <w:spacing w:before="0" w:after="200"/>
        <w:jc w:val="both"/>
        <w:rPr/>
      </w:pPr>
      <w:r>
        <w:rPr/>
        <mc:AlternateContent>
          <mc:Choice Requires="wps">
            <w:drawing>
              <wp:inline distT="0" distB="0" distL="0" distR="0">
                <wp:extent cx="4020185" cy="4677410"/>
                <wp:effectExtent l="0" t="0" r="0" b="0"/>
                <wp:docPr id="1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1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4019400" cy="4676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" stroked="f" style="position:absolute;margin-left:0pt;margin-top:-368.3pt;width:316.45pt;height:368.2pt;mso-position-vertical:top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1906" w:h="16838"/>
      <w:pgMar w:left="1418" w:right="851" w:header="0" w:top="851" w:footer="0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locked="1" w:uiPriority="0" w:semiHidden="0" w:unhideWhenUsed="0" w:qFormat="1"/>
    <w:lsdException w:name="heading 1" w:locked="1" w:uiPriority="0" w:semiHidden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 w:semiHidden="0" w:unhideWhenUsed="0"/>
    <w:lsdException w:name="toc 2" w:locked="1" w:uiPriority="0" w:semiHidden="0" w:unhideWhenUsed="0"/>
    <w:lsdException w:name="toc 3" w:locked="1" w:uiPriority="0" w:semiHidden="0" w:unhideWhenUsed="0"/>
    <w:lsdException w:name="toc 4" w:locked="1" w:uiPriority="0" w:semiHidden="0" w:unhideWhenUsed="0"/>
    <w:lsdException w:name="toc 5" w:locked="1" w:uiPriority="0" w:semiHidden="0" w:unhideWhenUsed="0"/>
    <w:lsdException w:name="toc 6" w:locked="1" w:uiPriority="0" w:semiHidden="0" w:unhideWhenUsed="0"/>
    <w:lsdException w:name="toc 7" w:locked="1" w:uiPriority="0" w:semiHidden="0" w:unhideWhenUsed="0"/>
    <w:lsdException w:name="toc 8" w:locked="1" w:uiPriority="0" w:semiHidden="0" w:unhideWhenUsed="0"/>
    <w:lsdException w:name="toc 9" w:locked="1" w:uiPriority="0" w:semiHidden="0" w:unhideWhenUsed="0"/>
    <w:lsdException w:name="caption" w:locked="1" w:uiPriority="0" w:qFormat="1"/>
    <w:lsdException w:name="Title" w:locked="1" w:uiPriority="0" w:semiHidden="0" w:unhideWhenUsed="0" w:qFormat="1"/>
    <w:lsdException w:name="Default Paragraph Font" w:locked="1" w:uiPriority="0" w:semiHidden="0" w:unhideWhenUsed="0"/>
    <w:lsdException w:name="Subtitle" w:locked="1" w:uiPriority="0" w:semiHidden="0" w:unhideWhenUsed="0" w:qFormat="1"/>
    <w:lsdException w:name="Strong" w:locked="1" w:uiPriority="0" w:semiHidden="0" w:unhideWhenUsed="0" w:qFormat="1"/>
    <w:lsdException w:name="Emphasis" w:locked="1" w:uiPriority="0" w:semiHidden="0" w:unhideWhenUsed="0" w:qFormat="1"/>
    <w:lsdException w:name="Table Grid" w:locked="1" w:uiPriority="0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c4c90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ru-RU" w:bidi="ar-SA"/>
    </w:rPr>
  </w:style>
  <w:style w:type="character" w:styleId="DefaultParagraphFont" w:default="1">
    <w:name w:val="Default Paragraph Font"/>
    <w:uiPriority w:val="99"/>
    <w:semiHidden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locked/>
    <w:rsid w:val="00920aef"/>
    <w:rPr>
      <w:sz w:val="22"/>
      <w:lang w:eastAsia="en-US"/>
    </w:rPr>
  </w:style>
  <w:style w:type="character" w:styleId="FooterChar" w:customStyle="1">
    <w:name w:val="Footer Char"/>
    <w:basedOn w:val="DefaultParagraphFont"/>
    <w:link w:val="Footer"/>
    <w:uiPriority w:val="99"/>
    <w:qFormat/>
    <w:locked/>
    <w:rsid w:val="00920aef"/>
    <w:rPr>
      <w:sz w:val="22"/>
      <w:lang w:eastAsia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locked/>
    <w:rsid w:val="00d73122"/>
    <w:rPr>
      <w:rFonts w:ascii="Tahoma" w:hAnsi="Tahoma" w:cs="Tahoma"/>
      <w:sz w:val="16"/>
      <w:szCs w:val="16"/>
      <w:lang w:eastAsia="en-US"/>
    </w:rPr>
  </w:style>
  <w:style w:type="character" w:styleId="Style14">
    <w:name w:val="Интернет-ссылка"/>
    <w:basedOn w:val="DefaultParagraphFont"/>
    <w:uiPriority w:val="99"/>
    <w:rsid w:val="001243dc"/>
    <w:rPr>
      <w:rFonts w:cs="Times New Roman"/>
      <w:color w:val="0000FF"/>
      <w:u w:val="single"/>
    </w:rPr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character" w:styleId="ListLabel19">
    <w:name w:val="ListLabel 19"/>
    <w:qFormat/>
    <w:rPr>
      <w:rFonts w:cs="Times New Roman"/>
    </w:rPr>
  </w:style>
  <w:style w:type="character" w:styleId="ListLabel20">
    <w:name w:val="ListLabel 20"/>
    <w:qFormat/>
    <w:rPr>
      <w:rFonts w:cs="Times New Roman"/>
    </w:rPr>
  </w:style>
  <w:style w:type="character" w:styleId="ListLabel21">
    <w:name w:val="ListLabel 21"/>
    <w:qFormat/>
    <w:rPr>
      <w:rFonts w:cs="Times New Roman"/>
    </w:rPr>
  </w:style>
  <w:style w:type="character" w:styleId="ListLabel22">
    <w:name w:val="ListLabel 22"/>
    <w:qFormat/>
    <w:rPr>
      <w:rFonts w:cs="Times New Roman"/>
    </w:rPr>
  </w:style>
  <w:style w:type="character" w:styleId="ListLabel23">
    <w:name w:val="ListLabel 23"/>
    <w:qFormat/>
    <w:rPr>
      <w:rFonts w:cs="Times New Roman"/>
    </w:rPr>
  </w:style>
  <w:style w:type="character" w:styleId="ListLabel24">
    <w:name w:val="ListLabel 24"/>
    <w:qFormat/>
    <w:rPr>
      <w:rFonts w:cs="Times New Roman"/>
    </w:rPr>
  </w:style>
  <w:style w:type="character" w:styleId="ListLabel25">
    <w:name w:val="ListLabel 25"/>
    <w:qFormat/>
    <w:rPr>
      <w:rFonts w:cs="Times New Roman"/>
    </w:rPr>
  </w:style>
  <w:style w:type="character" w:styleId="ListLabel26">
    <w:name w:val="ListLabel 26"/>
    <w:qFormat/>
    <w:rPr>
      <w:rFonts w:cs="Times New Roman"/>
    </w:rPr>
  </w:style>
  <w:style w:type="character" w:styleId="ListLabel27">
    <w:name w:val="ListLabel 27"/>
    <w:qFormat/>
    <w:rPr>
      <w:rFonts w:cs="Times New Roman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Mang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Mangal"/>
    </w:rPr>
  </w:style>
  <w:style w:type="paragraph" w:styleId="Style20">
    <w:name w:val="Header"/>
    <w:basedOn w:val="Normal"/>
    <w:link w:val="HeaderChar"/>
    <w:uiPriority w:val="99"/>
    <w:rsid w:val="00920aef"/>
    <w:pPr>
      <w:tabs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rsid w:val="00920aef"/>
    <w:pPr>
      <w:tabs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qFormat/>
    <w:rsid w:val="00d7312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118aa"/>
    <w:pPr>
      <w:spacing w:before="0" w:after="200"/>
      <w:ind w:left="720" w:hanging="0"/>
      <w:contextualSpacing/>
    </w:pPr>
    <w:rPr/>
  </w:style>
  <w:style w:type="paragraph" w:styleId="NoSpacing">
    <w:name w:val="No Spacing"/>
    <w:uiPriority w:val="99"/>
    <w:qFormat/>
    <w:rsid w:val="000c7d74"/>
    <w:pPr>
      <w:widowControl/>
      <w:bidi w:val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99"/>
    <w:rsid w:val="007b6fa6"/>
    <w:rPr>
      <w:sz w:val="20"/>
      <w:szCs w:val="20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23</TotalTime>
  <Application>LibreOffice/6.0.3.2$Windows_x86 LibreOffice_project/8f48d515416608e3a835360314dac7e47fd0b821</Application>
  <Pages>10</Pages>
  <Words>742</Words>
  <Characters>5068</Characters>
  <CharactersWithSpaces>5770</CharactersWithSpaces>
  <Paragraphs>69</Paragraphs>
  <Company>AAEM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2023-03-30T08:53:00Z</dcterms:created>
  <dc:creator>Vladislav N. Kartashov</dc:creator>
  <dc:description/>
  <dc:language>ru-RU</dc:language>
  <cp:lastModifiedBy/>
  <cp:lastPrinted>2023-03-22T16:32:00Z</cp:lastPrinted>
  <dcterms:modified xsi:type="dcterms:W3CDTF">2023-04-02T16:42:03Z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AAEM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