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398F" w14:textId="77777777" w:rsidR="00C72AE0" w:rsidRDefault="00774D95">
      <w:pPr>
        <w:pStyle w:val="Heading1"/>
        <w:keepNext w:val="0"/>
        <w:keepLines w:val="0"/>
        <w:spacing w:before="480"/>
        <w:rPr>
          <w:b/>
          <w:sz w:val="24"/>
          <w:szCs w:val="24"/>
        </w:rPr>
      </w:pPr>
      <w:bookmarkStart w:id="0" w:name="_q8w9gjkit460" w:colFirst="0" w:colLast="0"/>
      <w:bookmarkEnd w:id="0"/>
      <w:r>
        <w:rPr>
          <w:b/>
          <w:sz w:val="24"/>
          <w:szCs w:val="24"/>
        </w:rPr>
        <w:t>Публикация в Nature</w:t>
      </w:r>
    </w:p>
    <w:p w14:paraId="5E98DD2B" w14:textId="77777777" w:rsidR="00C72AE0" w:rsidRDefault="00774D95">
      <w:pPr>
        <w:pStyle w:val="normal0"/>
      </w:pPr>
      <w:hyperlink r:id="rId6">
        <w:r>
          <w:rPr>
            <w:color w:val="1155CC"/>
            <w:u w:val="single"/>
          </w:rPr>
          <w:t>https://www.nature.com/articles/nature08976</w:t>
        </w:r>
      </w:hyperlink>
    </w:p>
    <w:p w14:paraId="296999A2" w14:textId="77777777" w:rsidR="00C72AE0" w:rsidRDefault="00C72AE0">
      <w:pPr>
        <w:pStyle w:val="normal0"/>
      </w:pPr>
    </w:p>
    <w:p w14:paraId="53379B9D" w14:textId="77777777" w:rsidR="00C72AE0" w:rsidRDefault="00774D9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lchqfwefk8nw" w:colFirst="0" w:colLast="0"/>
      <w:bookmarkEnd w:id="1"/>
      <w:r>
        <w:rPr>
          <w:b/>
          <w:sz w:val="46"/>
          <w:szCs w:val="46"/>
        </w:rPr>
        <w:t>The complete mitochondrial DNA genome of an unknown hominin from southern Siberia</w:t>
      </w:r>
    </w:p>
    <w:p w14:paraId="1759C5FB" w14:textId="77777777" w:rsidR="00C72AE0" w:rsidRDefault="00C72AE0">
      <w:pPr>
        <w:pStyle w:val="normal0"/>
      </w:pPr>
    </w:p>
    <w:p w14:paraId="6A0CEFE5" w14:textId="77777777" w:rsidR="00C72AE0" w:rsidRDefault="00774D95">
      <w:pPr>
        <w:pStyle w:val="normal0"/>
      </w:pPr>
      <w:r>
        <w:t xml:space="preserve">Есть </w:t>
      </w:r>
      <w:r>
        <w:rPr>
          <w:b/>
          <w:sz w:val="34"/>
          <w:szCs w:val="34"/>
        </w:rPr>
        <w:t xml:space="preserve">Supplementary information </w:t>
      </w:r>
    </w:p>
    <w:p w14:paraId="0D5C097F" w14:textId="77777777" w:rsidR="00C72AE0" w:rsidRDefault="00774D95">
      <w:pPr>
        <w:pStyle w:val="normal0"/>
      </w:pPr>
      <w:hyperlink r:id="rId7" w:anchor="Sec2">
        <w:r>
          <w:rPr>
            <w:color w:val="1155CC"/>
            <w:u w:val="single"/>
          </w:rPr>
          <w:t>https://www.nature.com/articles/nature08976#Sec2</w:t>
        </w:r>
      </w:hyperlink>
    </w:p>
    <w:p w14:paraId="1EE516CB" w14:textId="77777777" w:rsidR="00C72AE0" w:rsidRDefault="00C72AE0">
      <w:pPr>
        <w:pStyle w:val="normal0"/>
      </w:pPr>
    </w:p>
    <w:p w14:paraId="55A8326D" w14:textId="77777777" w:rsidR="00C72AE0" w:rsidRDefault="00774D95">
      <w:pPr>
        <w:pStyle w:val="normal0"/>
      </w:pPr>
      <w:r>
        <w:t>Там описаны методы -</w:t>
      </w:r>
    </w:p>
    <w:p w14:paraId="30A360C8" w14:textId="77777777" w:rsidR="00C72AE0" w:rsidRDefault="00774D95">
      <w:pPr>
        <w:pStyle w:val="normal0"/>
      </w:pPr>
      <w:r>
        <w:t>https://static-content.springer.com/esm/art%3A10.1038%2Fnature08976/MediaObjects/41586_2010_BFnature08976_MOESM327</w:t>
      </w:r>
      <w:r>
        <w:t>_ESM.pdf</w:t>
      </w:r>
    </w:p>
    <w:p w14:paraId="06C4A2B0" w14:textId="77777777" w:rsidR="00C72AE0" w:rsidRDefault="00C72AE0">
      <w:pPr>
        <w:pStyle w:val="normal0"/>
      </w:pPr>
    </w:p>
    <w:p w14:paraId="40A1FF19" w14:textId="77777777" w:rsidR="00C72AE0" w:rsidRDefault="00774D95">
      <w:pPr>
        <w:pStyle w:val="normal0"/>
        <w:spacing w:after="200"/>
      </w:pPr>
      <w:r>
        <w:t>Статья и Supplementary также доступны в папке материалов для семинара</w:t>
      </w:r>
    </w:p>
    <w:p w14:paraId="21C42EA9" w14:textId="77777777" w:rsidR="00C72AE0" w:rsidRDefault="00774D95">
      <w:pPr>
        <w:pStyle w:val="normal0"/>
        <w:spacing w:after="200"/>
      </w:pPr>
      <w:r>
        <w:t>Мы хотим построить филогенетическое дерево - такое, какое изображено на рис. 3 статьи, но для меньшего числа последовательностей.</w:t>
      </w:r>
    </w:p>
    <w:p w14:paraId="7E3ED54B" w14:textId="77777777" w:rsidR="00C72AE0" w:rsidRDefault="00C72AE0">
      <w:pPr>
        <w:pStyle w:val="normal0"/>
        <w:spacing w:after="200"/>
      </w:pPr>
    </w:p>
    <w:p w14:paraId="4B899E86" w14:textId="77777777" w:rsidR="00C72AE0" w:rsidRDefault="00C72AE0">
      <w:pPr>
        <w:pStyle w:val="normal0"/>
        <w:spacing w:after="200"/>
      </w:pPr>
    </w:p>
    <w:p w14:paraId="79935351" w14:textId="77777777" w:rsidR="00C72AE0" w:rsidRDefault="00C72AE0">
      <w:pPr>
        <w:pStyle w:val="normal0"/>
        <w:spacing w:after="200"/>
      </w:pPr>
    </w:p>
    <w:p w14:paraId="23F0460F" w14:textId="77777777" w:rsidR="00C72AE0" w:rsidRDefault="00C72AE0">
      <w:pPr>
        <w:pStyle w:val="normal0"/>
        <w:spacing w:after="200"/>
      </w:pPr>
    </w:p>
    <w:p w14:paraId="53BC7C33" w14:textId="77777777" w:rsidR="00C72AE0" w:rsidRDefault="00774D95">
      <w:pPr>
        <w:pStyle w:val="normal0"/>
        <w:spacing w:after="200"/>
      </w:pPr>
      <w:r>
        <w:lastRenderedPageBreak/>
        <w:t>Митохондриальная ДНК Денисовского человека</w:t>
      </w:r>
      <w:r>
        <w:rPr>
          <w:noProof/>
          <w:lang w:val="en-US"/>
        </w:rPr>
        <w:drawing>
          <wp:inline distT="114300" distB="114300" distL="114300" distR="114300" wp14:anchorId="64DA8ED3" wp14:editId="2FA62E30">
            <wp:extent cx="5200650" cy="61245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586B3" w14:textId="77777777" w:rsidR="00C72AE0" w:rsidRDefault="00774D95">
      <w:pPr>
        <w:pStyle w:val="normal0"/>
        <w:spacing w:after="200"/>
      </w:pPr>
      <w:r>
        <w:t>Читаем методы в Supplementary:</w:t>
      </w:r>
    </w:p>
    <w:p w14:paraId="663D3028" w14:textId="77777777" w:rsidR="00C72AE0" w:rsidRDefault="00C72AE0">
      <w:pPr>
        <w:pStyle w:val="normal0"/>
        <w:spacing w:after="200"/>
      </w:pPr>
    </w:p>
    <w:p w14:paraId="546D5209" w14:textId="77777777" w:rsidR="00C72AE0" w:rsidRDefault="00774D95">
      <w:pPr>
        <w:pStyle w:val="normal0"/>
        <w:spacing w:after="200"/>
      </w:pPr>
      <w:r>
        <w:rPr>
          <w:noProof/>
          <w:lang w:val="en-US"/>
        </w:rPr>
        <w:lastRenderedPageBreak/>
        <w:drawing>
          <wp:inline distT="114300" distB="114300" distL="114300" distR="114300" wp14:anchorId="1546B2BE" wp14:editId="5443EB8E">
            <wp:extent cx="5734050" cy="2882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4614D" w14:textId="72D5B603" w:rsidR="00774D95" w:rsidRDefault="00774D95">
      <w:pPr>
        <w:pStyle w:val="normal0"/>
        <w:spacing w:after="200"/>
      </w:pPr>
      <w:r w:rsidRPr="00774D95">
        <w:rPr>
          <w:highlight w:val="yellow"/>
        </w:rPr>
        <w:t>Собираем данные</w:t>
      </w:r>
    </w:p>
    <w:p w14:paraId="00F110F8" w14:textId="77777777" w:rsidR="00C72AE0" w:rsidRDefault="00774D95">
      <w:pPr>
        <w:pStyle w:val="normal0"/>
        <w:spacing w:after="200"/>
      </w:pPr>
      <w:r>
        <w:t>Скачиваем митохондриальные ДНК (также доступны в папке семинара):</w:t>
      </w:r>
    </w:p>
    <w:p w14:paraId="3B24AA93" w14:textId="77777777" w:rsidR="00C72AE0" w:rsidRDefault="00774D95">
      <w:pPr>
        <w:pStyle w:val="normal0"/>
        <w:spacing w:after="200"/>
      </w:pPr>
      <w:r>
        <w:t>1  Денисовского человека.</w:t>
      </w:r>
      <w:bookmarkStart w:id="2" w:name="_GoBack"/>
      <w:bookmarkEnd w:id="2"/>
    </w:p>
    <w:p w14:paraId="08B090E4" w14:textId="77777777" w:rsidR="00C72AE0" w:rsidRDefault="00774D95">
      <w:pPr>
        <w:pStyle w:val="normal0"/>
        <w:spacing w:after="200"/>
      </w:pPr>
      <w:r>
        <w:t>EMBL – accession number FN673705</w:t>
      </w:r>
    </w:p>
    <w:p w14:paraId="78B31E57" w14:textId="77777777" w:rsidR="00C72AE0" w:rsidRDefault="00774D95">
      <w:pPr>
        <w:pStyle w:val="normal0"/>
        <w:spacing w:after="200"/>
      </w:pPr>
      <w:hyperlink r:id="rId10">
        <w:r>
          <w:rPr>
            <w:color w:val="1155CC"/>
            <w:u w:val="single"/>
          </w:rPr>
          <w:t>https://www.ebi.ac.uk/ena/data/</w:t>
        </w:r>
        <w:r>
          <w:rPr>
            <w:color w:val="1155CC"/>
            <w:u w:val="single"/>
          </w:rPr>
          <w:t>view/FN673705</w:t>
        </w:r>
      </w:hyperlink>
    </w:p>
    <w:p w14:paraId="0A9FF38F" w14:textId="77777777" w:rsidR="00C72AE0" w:rsidRDefault="00C72AE0">
      <w:pPr>
        <w:pStyle w:val="normal0"/>
        <w:spacing w:after="200"/>
      </w:pPr>
    </w:p>
    <w:p w14:paraId="354F637B" w14:textId="77777777" w:rsidR="00C72AE0" w:rsidRDefault="00774D95">
      <w:pPr>
        <w:pStyle w:val="normal0"/>
        <w:spacing w:after="200"/>
      </w:pPr>
      <w:r>
        <w:t xml:space="preserve">2. Неандертальцев </w:t>
      </w:r>
    </w:p>
    <w:p w14:paraId="41A837CE" w14:textId="77777777" w:rsidR="00C72AE0" w:rsidRDefault="00774D95">
      <w:pPr>
        <w:pStyle w:val="normal0"/>
        <w:spacing w:after="200"/>
      </w:pPr>
      <w:r>
        <w:t xml:space="preserve">доступны на UCSC genome browser - </w:t>
      </w:r>
      <w:hyperlink r:id="rId11">
        <w:r>
          <w:rPr>
            <w:color w:val="1155CC"/>
            <w:u w:val="single"/>
          </w:rPr>
          <w:t>https://genome.ucsc.edu/Neandertal/</w:t>
        </w:r>
      </w:hyperlink>
    </w:p>
    <w:p w14:paraId="6D71B6AB" w14:textId="77777777" w:rsidR="00C72AE0" w:rsidRDefault="00774D95">
      <w:pPr>
        <w:pStyle w:val="normal0"/>
        <w:spacing w:after="200"/>
      </w:pPr>
      <w:r>
        <w:t>Сходите, посмотрите, что там есть</w:t>
      </w:r>
    </w:p>
    <w:p w14:paraId="3E79C059" w14:textId="77777777" w:rsidR="00C72AE0" w:rsidRDefault="00774D95">
      <w:pPr>
        <w:pStyle w:val="normal0"/>
        <w:spacing w:after="200"/>
        <w:rPr>
          <w:b/>
          <w:i/>
          <w:sz w:val="24"/>
          <w:szCs w:val="24"/>
        </w:rPr>
      </w:pPr>
      <w:r>
        <w:t xml:space="preserve">В самом конце ссылок есть </w:t>
      </w:r>
      <w:r>
        <w:rPr>
          <w:b/>
          <w:i/>
          <w:sz w:val="24"/>
          <w:szCs w:val="24"/>
        </w:rPr>
        <w:t>Neandertal Mitochondrial Sequence</w:t>
      </w:r>
    </w:p>
    <w:p w14:paraId="5FD4E47B" w14:textId="77777777" w:rsidR="00C72AE0" w:rsidRDefault="00774D95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А оттуда есть ссылка на митохондриальный геном и неандертальца, и человека</w:t>
      </w:r>
    </w:p>
    <w:p w14:paraId="054E2DD6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“DNA was extracted from a 38,000-year-old bone and sequenced using methods described in Green, </w:t>
      </w:r>
      <w:r>
        <w:rPr>
          <w:i/>
          <w:sz w:val="24"/>
          <w:szCs w:val="24"/>
        </w:rPr>
        <w:t>et al</w:t>
      </w:r>
      <w:r>
        <w:rPr>
          <w:sz w:val="24"/>
          <w:szCs w:val="24"/>
        </w:rPr>
        <w:t>. The Neandertal mitochondrial sequence (</w:t>
      </w:r>
      <w:hyperlink r:id="rId12">
        <w:r>
          <w:rPr>
            <w:color w:val="1155CC"/>
            <w:sz w:val="24"/>
            <w:szCs w:val="24"/>
            <w:u w:val="single"/>
          </w:rPr>
          <w:t>NC_011137</w:t>
        </w:r>
      </w:hyperlink>
      <w:r>
        <w:rPr>
          <w:sz w:val="24"/>
          <w:szCs w:val="24"/>
        </w:rPr>
        <w:t>) was downloaded from GenBank and aligned to chrM (</w:t>
      </w:r>
      <w:hyperlink r:id="rId13">
        <w:r>
          <w:rPr>
            <w:color w:val="1155CC"/>
            <w:sz w:val="24"/>
            <w:szCs w:val="24"/>
            <w:u w:val="single"/>
          </w:rPr>
          <w:t>NC_001807</w:t>
        </w:r>
      </w:hyperlink>
      <w:r>
        <w:rPr>
          <w:sz w:val="24"/>
          <w:szCs w:val="24"/>
        </w:rPr>
        <w:t>) using BLAT.”</w:t>
      </w:r>
    </w:p>
    <w:p w14:paraId="2341147B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Неандерталец - </w:t>
      </w:r>
      <w:hyperlink r:id="rId14">
        <w:r>
          <w:rPr>
            <w:color w:val="1155CC"/>
            <w:sz w:val="24"/>
            <w:szCs w:val="24"/>
            <w:u w:val="single"/>
          </w:rPr>
          <w:t>NC_011137</w:t>
        </w:r>
      </w:hyperlink>
      <w:r>
        <w:rPr>
          <w:sz w:val="24"/>
          <w:szCs w:val="24"/>
        </w:rPr>
        <w:t xml:space="preserve"> -  </w:t>
      </w:r>
      <w:hyperlink r:id="rId15">
        <w:r>
          <w:rPr>
            <w:color w:val="1155CC"/>
            <w:sz w:val="24"/>
            <w:szCs w:val="24"/>
            <w:u w:val="single"/>
          </w:rPr>
          <w:t>https://www.ncbi.nlm.nih.gov/nuccore/196123578</w:t>
        </w:r>
      </w:hyperlink>
      <w:r>
        <w:rPr>
          <w:sz w:val="24"/>
          <w:szCs w:val="24"/>
        </w:rPr>
        <w:t xml:space="preserve"> - выбираем формат fasta и скачиваем</w:t>
      </w:r>
    </w:p>
    <w:p w14:paraId="12BB6CD5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>3. Человек</w:t>
      </w:r>
    </w:p>
    <w:p w14:paraId="3B4AD90F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>Референтная последовательность</w:t>
      </w:r>
    </w:p>
    <w:p w14:paraId="4175D856" w14:textId="77777777" w:rsidR="00C72AE0" w:rsidRDefault="00774D95">
      <w:pPr>
        <w:pStyle w:val="normal0"/>
        <w:spacing w:after="200"/>
        <w:rPr>
          <w:sz w:val="24"/>
          <w:szCs w:val="24"/>
        </w:rPr>
      </w:pPr>
      <w:hyperlink r:id="rId16">
        <w:r>
          <w:rPr>
            <w:color w:val="1155CC"/>
            <w:sz w:val="24"/>
            <w:szCs w:val="24"/>
            <w:u w:val="single"/>
          </w:rPr>
          <w:t>https://www.ncbi.nlm.nih.gov/n</w:t>
        </w:r>
        <w:r>
          <w:rPr>
            <w:color w:val="1155CC"/>
            <w:sz w:val="24"/>
            <w:szCs w:val="24"/>
            <w:u w:val="single"/>
          </w:rPr>
          <w:t>u</w:t>
        </w:r>
        <w:r>
          <w:rPr>
            <w:color w:val="1155CC"/>
            <w:sz w:val="24"/>
            <w:szCs w:val="24"/>
            <w:u w:val="single"/>
          </w:rPr>
          <w:t>ccore/251831106</w:t>
        </w:r>
      </w:hyperlink>
    </w:p>
    <w:p w14:paraId="60F92472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lastRenderedPageBreak/>
        <w:t>Плюс есть много других</w:t>
      </w:r>
      <w:r w:rsidR="003B5821">
        <w:rPr>
          <w:sz w:val="24"/>
          <w:szCs w:val="24"/>
        </w:rPr>
        <w:t xml:space="preserve"> – можно поискать митохондриальные геномы других людей</w:t>
      </w:r>
    </w:p>
    <w:p w14:paraId="50F81503" w14:textId="77777777" w:rsidR="00C72AE0" w:rsidRDefault="00C72AE0">
      <w:pPr>
        <w:pStyle w:val="normal0"/>
        <w:spacing w:after="200"/>
        <w:rPr>
          <w:sz w:val="24"/>
          <w:szCs w:val="24"/>
        </w:rPr>
      </w:pPr>
    </w:p>
    <w:p w14:paraId="584AE7A2" w14:textId="77777777" w:rsidR="00C72AE0" w:rsidRDefault="00774D95">
      <w:pPr>
        <w:pStyle w:val="normal0"/>
        <w:spacing w:after="200"/>
        <w:rPr>
          <w:i/>
          <w:sz w:val="24"/>
          <w:szCs w:val="24"/>
        </w:rPr>
      </w:pPr>
      <w:r>
        <w:rPr>
          <w:sz w:val="24"/>
          <w:szCs w:val="24"/>
        </w:rPr>
        <w:t>4. Шимпанзе (</w:t>
      </w:r>
      <w:r>
        <w:rPr>
          <w:i/>
          <w:sz w:val="24"/>
          <w:szCs w:val="24"/>
        </w:rPr>
        <w:t>Pan troglodytes)</w:t>
      </w:r>
    </w:p>
    <w:p w14:paraId="4CA51FFF" w14:textId="77777777" w:rsidR="00C72AE0" w:rsidRDefault="00774D95">
      <w:pPr>
        <w:pStyle w:val="normal0"/>
        <w:spacing w:after="200"/>
        <w:rPr>
          <w:sz w:val="24"/>
          <w:szCs w:val="24"/>
        </w:rPr>
      </w:pPr>
      <w:hyperlink r:id="rId17">
        <w:r>
          <w:rPr>
            <w:color w:val="1155CC"/>
            <w:sz w:val="24"/>
            <w:szCs w:val="24"/>
            <w:u w:val="single"/>
          </w:rPr>
          <w:t>https://www.ncbi.nlm.nih.gov/nucleotide/NC_001643.1</w:t>
        </w:r>
      </w:hyperlink>
    </w:p>
    <w:p w14:paraId="75C953EC" w14:textId="77777777" w:rsidR="00C72AE0" w:rsidRDefault="00C72AE0">
      <w:pPr>
        <w:pStyle w:val="normal0"/>
        <w:spacing w:after="200"/>
        <w:rPr>
          <w:sz w:val="24"/>
          <w:szCs w:val="24"/>
        </w:rPr>
      </w:pPr>
    </w:p>
    <w:p w14:paraId="47A58037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>5. Bonobo  - найти самим</w:t>
      </w:r>
    </w:p>
    <w:p w14:paraId="3334A502" w14:textId="77777777" w:rsidR="00C72AE0" w:rsidRDefault="00C72AE0">
      <w:pPr>
        <w:pStyle w:val="normal0"/>
        <w:spacing w:after="200"/>
        <w:rPr>
          <w:sz w:val="24"/>
          <w:szCs w:val="24"/>
        </w:rPr>
      </w:pPr>
    </w:p>
    <w:p w14:paraId="05AB0E34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>Сделать общий файл, содержащий все геномы</w:t>
      </w:r>
    </w:p>
    <w:p w14:paraId="0B846FDE" w14:textId="77777777" w:rsidR="00774D95" w:rsidRDefault="00774D95">
      <w:pPr>
        <w:pStyle w:val="normal0"/>
        <w:spacing w:after="200"/>
        <w:rPr>
          <w:sz w:val="24"/>
          <w:szCs w:val="24"/>
        </w:rPr>
      </w:pPr>
    </w:p>
    <w:p w14:paraId="2A63A4DA" w14:textId="7F1D7F36" w:rsidR="00E67A2D" w:rsidRDefault="00E67A2D">
      <w:pPr>
        <w:pStyle w:val="normal0"/>
        <w:spacing w:after="200"/>
        <w:rPr>
          <w:sz w:val="24"/>
          <w:szCs w:val="24"/>
        </w:rPr>
      </w:pPr>
      <w:r w:rsidRPr="00E67A2D">
        <w:rPr>
          <w:sz w:val="24"/>
          <w:szCs w:val="24"/>
          <w:highlight w:val="yellow"/>
        </w:rPr>
        <w:t>Выравниваем митохондриальные геномы</w:t>
      </w:r>
    </w:p>
    <w:p w14:paraId="0E4C9784" w14:textId="77777777" w:rsidR="00C72AE0" w:rsidRDefault="00774D95">
      <w:pPr>
        <w:pStyle w:val="normal0"/>
        <w:spacing w:after="200"/>
        <w:rPr>
          <w:sz w:val="24"/>
          <w:szCs w:val="24"/>
        </w:rPr>
      </w:pPr>
      <w:r>
        <w:rPr>
          <w:sz w:val="24"/>
          <w:szCs w:val="24"/>
        </w:rPr>
        <w:t>Для выравнивания можно скачать отдельную программу MUSCLE (работает быстрее, чем MEGA)</w:t>
      </w:r>
    </w:p>
    <w:p w14:paraId="2B5D6664" w14:textId="77777777" w:rsidR="00C72AE0" w:rsidRDefault="00774D95">
      <w:pPr>
        <w:pStyle w:val="normal0"/>
        <w:spacing w:after="200"/>
        <w:rPr>
          <w:sz w:val="24"/>
          <w:szCs w:val="24"/>
        </w:rPr>
      </w:pPr>
      <w:hyperlink r:id="rId18">
        <w:r>
          <w:rPr>
            <w:color w:val="1155CC"/>
            <w:sz w:val="24"/>
            <w:szCs w:val="24"/>
            <w:u w:val="single"/>
          </w:rPr>
          <w:t>http://www.drive5.com/muscle/</w:t>
        </w:r>
      </w:hyperlink>
    </w:p>
    <w:p w14:paraId="392DD016" w14:textId="77777777" w:rsidR="00C72AE0" w:rsidRDefault="00774D95">
      <w:pPr>
        <w:pStyle w:val="normal0"/>
        <w:spacing w:after="240"/>
        <w:rPr>
          <w:sz w:val="24"/>
          <w:szCs w:val="24"/>
        </w:rPr>
      </w:pPr>
      <w:r>
        <w:rPr>
          <w:sz w:val="24"/>
          <w:szCs w:val="24"/>
        </w:rPr>
        <w:t>Делает выравнивания через командную строку:</w:t>
      </w:r>
    </w:p>
    <w:p w14:paraId="2D94B9F4" w14:textId="77777777" w:rsidR="00C72AE0" w:rsidRDefault="00774D95">
      <w:pPr>
        <w:pStyle w:val="normal0"/>
        <w:spacing w:after="240"/>
        <w:rPr>
          <w:sz w:val="24"/>
          <w:szCs w:val="24"/>
        </w:rPr>
      </w:pPr>
      <w:r>
        <w:rPr>
          <w:sz w:val="24"/>
          <w:szCs w:val="24"/>
        </w:rPr>
        <w:t>Make an alignment and save to a file in FASTA format:</w:t>
      </w:r>
    </w:p>
    <w:p w14:paraId="3DAE96F0" w14:textId="77777777" w:rsidR="00C72AE0" w:rsidRDefault="00774D95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muscle -in seqs.fa -out seqs.afa</w:t>
      </w:r>
    </w:p>
    <w:p w14:paraId="6DE15219" w14:textId="733485C2" w:rsidR="00C72AE0" w:rsidRDefault="00E67A2D">
      <w:pPr>
        <w:pStyle w:val="normal0"/>
        <w:spacing w:after="200"/>
        <w:rPr>
          <w:sz w:val="24"/>
          <w:szCs w:val="24"/>
        </w:rPr>
      </w:pPr>
      <w:r w:rsidRPr="00E67A2D">
        <w:rPr>
          <w:sz w:val="24"/>
          <w:szCs w:val="24"/>
          <w:highlight w:val="yellow"/>
        </w:rPr>
        <w:t>Строим дерево</w:t>
      </w:r>
      <w:r>
        <w:rPr>
          <w:sz w:val="24"/>
          <w:szCs w:val="24"/>
        </w:rPr>
        <w:t xml:space="preserve"> –</w:t>
      </w:r>
    </w:p>
    <w:p w14:paraId="6AEA568C" w14:textId="7319D2A9" w:rsidR="00E67A2D" w:rsidRDefault="00E67A2D" w:rsidP="00E67A2D">
      <w:pPr>
        <w:pStyle w:val="normal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разными методами</w:t>
      </w:r>
    </w:p>
    <w:p w14:paraId="40FC4ACE" w14:textId="134F22C9" w:rsidR="00E67A2D" w:rsidRDefault="00E67A2D" w:rsidP="00E67A2D">
      <w:pPr>
        <w:pStyle w:val="normal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бутстрэп</w:t>
      </w:r>
    </w:p>
    <w:p w14:paraId="6234813E" w14:textId="5DF624C7" w:rsidR="00E67A2D" w:rsidRDefault="00E67A2D" w:rsidP="00E67A2D">
      <w:pPr>
        <w:pStyle w:val="normal0"/>
        <w:numPr>
          <w:ilvl w:val="0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смотрим матрицу расстояний</w:t>
      </w:r>
    </w:p>
    <w:p w14:paraId="78176BE9" w14:textId="77777777" w:rsidR="00C72AE0" w:rsidRDefault="00C72AE0">
      <w:pPr>
        <w:pStyle w:val="normal0"/>
        <w:spacing w:after="200"/>
        <w:rPr>
          <w:sz w:val="24"/>
          <w:szCs w:val="24"/>
        </w:rPr>
      </w:pPr>
    </w:p>
    <w:p w14:paraId="3593B9F7" w14:textId="77777777" w:rsidR="00C72AE0" w:rsidRDefault="00774D9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gqj2hc5mso93" w:colFirst="0" w:colLast="0"/>
      <w:bookmarkEnd w:id="3"/>
      <w:r>
        <w:rPr>
          <w:b/>
          <w:sz w:val="46"/>
          <w:szCs w:val="46"/>
        </w:rPr>
        <w:t>Cайт проекта генома неандертальца Института Макса Планка</w:t>
      </w:r>
    </w:p>
    <w:bookmarkStart w:id="4" w:name="_tsz6dykpak2i" w:colFirst="0" w:colLast="0"/>
    <w:bookmarkEnd w:id="4"/>
    <w:p w14:paraId="7F51F6FE" w14:textId="77777777" w:rsidR="00C72AE0" w:rsidRDefault="00774D95">
      <w:pPr>
        <w:pStyle w:val="Heading1"/>
        <w:keepNext w:val="0"/>
        <w:keepLines w:val="0"/>
        <w:spacing w:before="480"/>
        <w:rPr>
          <w:b/>
          <w:sz w:val="24"/>
          <w:szCs w:val="24"/>
        </w:rPr>
      </w:pPr>
      <w:r>
        <w:fldChar w:fldCharType="begin"/>
      </w:r>
      <w:r>
        <w:instrText xml:space="preserve"> HYPERLINK "https://www.eva.mpg.de/genetics/genome-projects/neandertal/index.html" \h </w:instrText>
      </w:r>
      <w:r>
        <w:fldChar w:fldCharType="separate"/>
      </w:r>
      <w:r>
        <w:rPr>
          <w:b/>
          <w:color w:val="1155CC"/>
          <w:sz w:val="24"/>
          <w:szCs w:val="24"/>
          <w:u w:val="single"/>
        </w:rPr>
        <w:t>https://www.eva.mpg.de/genetics/genome-projects/neandertal/index.html</w:t>
      </w:r>
      <w:r>
        <w:rPr>
          <w:b/>
          <w:color w:val="1155CC"/>
          <w:sz w:val="24"/>
          <w:szCs w:val="24"/>
          <w:u w:val="single"/>
        </w:rPr>
        <w:fldChar w:fldCharType="end"/>
      </w:r>
    </w:p>
    <w:p w14:paraId="067D6C4F" w14:textId="77777777" w:rsidR="00C72AE0" w:rsidRDefault="00774D95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 wp14:anchorId="4CB079D5" wp14:editId="293EB2A7">
            <wp:extent cx="5734050" cy="287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0B3E5" w14:textId="77777777" w:rsidR="00C72AE0" w:rsidRDefault="00C72AE0">
      <w:pPr>
        <w:pStyle w:val="normal0"/>
      </w:pPr>
    </w:p>
    <w:p w14:paraId="59F21D93" w14:textId="77777777" w:rsidR="00C72AE0" w:rsidRPr="003B5821" w:rsidRDefault="00774D95">
      <w:pPr>
        <w:pStyle w:val="normal0"/>
        <w:rPr>
          <w:sz w:val="24"/>
          <w:szCs w:val="24"/>
        </w:rPr>
      </w:pPr>
      <w:r w:rsidRPr="003B5821">
        <w:rPr>
          <w:sz w:val="24"/>
          <w:szCs w:val="24"/>
        </w:rPr>
        <w:t>Там есть браузер древних геномов</w:t>
      </w:r>
      <w:r w:rsidR="003B5821">
        <w:rPr>
          <w:sz w:val="24"/>
          <w:szCs w:val="24"/>
        </w:rPr>
        <w:t xml:space="preserve"> – интересно посмотреть разные участки. В том числе митохондриальную ДНК.</w:t>
      </w:r>
    </w:p>
    <w:p w14:paraId="386571E3" w14:textId="77777777" w:rsidR="00C72AE0" w:rsidRDefault="00C72AE0">
      <w:pPr>
        <w:pStyle w:val="normal0"/>
      </w:pPr>
    </w:p>
    <w:p w14:paraId="26CED102" w14:textId="77777777" w:rsidR="00C72AE0" w:rsidRDefault="00774D95" w:rsidP="003B5821">
      <w:pPr>
        <w:pStyle w:val="normal0"/>
        <w:rPr>
          <w:color w:val="1155CC"/>
          <w:u w:val="single"/>
        </w:rPr>
      </w:pPr>
      <w:hyperlink r:id="rId20">
        <w:r>
          <w:rPr>
            <w:color w:val="1155CC"/>
            <w:u w:val="single"/>
          </w:rPr>
          <w:t>https://bioinf.eva.mpg.de/jbrowse/</w:t>
        </w:r>
      </w:hyperlink>
      <w:bookmarkStart w:id="5" w:name="_rtlvowjgm1du" w:colFirst="0" w:colLast="0"/>
      <w:bookmarkEnd w:id="5"/>
    </w:p>
    <w:p w14:paraId="6734EE66" w14:textId="77777777" w:rsidR="003B5821" w:rsidRDefault="003B5821" w:rsidP="003B5821">
      <w:pPr>
        <w:pStyle w:val="normal0"/>
        <w:rPr>
          <w:color w:val="1155CC"/>
          <w:u w:val="single"/>
        </w:rPr>
      </w:pPr>
    </w:p>
    <w:p w14:paraId="74AAB37E" w14:textId="77777777" w:rsidR="003B5821" w:rsidRPr="003B5821" w:rsidRDefault="003B5821" w:rsidP="003B5821">
      <w:pPr>
        <w:pStyle w:val="normal0"/>
      </w:pPr>
    </w:p>
    <w:p w14:paraId="53B4CCF4" w14:textId="77777777" w:rsidR="003B5821" w:rsidRPr="003B5821" w:rsidRDefault="003B5821">
      <w:pPr>
        <w:pStyle w:val="Heading1"/>
        <w:keepNext w:val="0"/>
        <w:keepLines w:val="0"/>
        <w:spacing w:before="480"/>
        <w:rPr>
          <w:b/>
          <w:sz w:val="36"/>
          <w:szCs w:val="36"/>
        </w:rPr>
      </w:pPr>
      <w:bookmarkStart w:id="6" w:name="_azcc987a52i7" w:colFirst="0" w:colLast="0"/>
      <w:bookmarkEnd w:id="6"/>
      <w:r w:rsidRPr="003B5821">
        <w:rPr>
          <w:b/>
          <w:sz w:val="36"/>
          <w:szCs w:val="36"/>
        </w:rPr>
        <w:t>Экстра</w:t>
      </w:r>
    </w:p>
    <w:p w14:paraId="5A2780EF" w14:textId="77777777" w:rsidR="00C72AE0" w:rsidRPr="003B5821" w:rsidRDefault="00774D95">
      <w:pPr>
        <w:pStyle w:val="Heading1"/>
        <w:keepNext w:val="0"/>
        <w:keepLines w:val="0"/>
        <w:spacing w:before="480"/>
        <w:rPr>
          <w:b/>
          <w:sz w:val="32"/>
          <w:szCs w:val="32"/>
        </w:rPr>
      </w:pPr>
      <w:r w:rsidRPr="003B5821">
        <w:rPr>
          <w:b/>
          <w:sz w:val="32"/>
          <w:szCs w:val="32"/>
        </w:rPr>
        <w:t>Ancient mtDNA database</w:t>
      </w:r>
    </w:p>
    <w:p w14:paraId="388A37ED" w14:textId="77777777" w:rsidR="00C72AE0" w:rsidRDefault="00774D95">
      <w:pPr>
        <w:pStyle w:val="normal0"/>
      </w:pPr>
      <w:hyperlink r:id="rId21">
        <w:r>
          <w:rPr>
            <w:color w:val="1155CC"/>
            <w:u w:val="single"/>
          </w:rPr>
          <w:t>https://academic.oup.com/nar/article/47/D1/D29/5106144</w:t>
        </w:r>
      </w:hyperlink>
    </w:p>
    <w:p w14:paraId="2990568A" w14:textId="77777777" w:rsidR="00C72AE0" w:rsidRDefault="00774D95">
      <w:pPr>
        <w:pStyle w:val="normal0"/>
      </w:pPr>
      <w:hyperlink r:id="rId22">
        <w:r>
          <w:rPr>
            <w:color w:val="1155CC"/>
            <w:u w:val="single"/>
          </w:rPr>
          <w:t>https://amtdb.org/</w:t>
        </w:r>
      </w:hyperlink>
    </w:p>
    <w:p w14:paraId="2154C500" w14:textId="77777777" w:rsidR="00C72AE0" w:rsidRDefault="00C72AE0">
      <w:pPr>
        <w:pStyle w:val="normal0"/>
      </w:pPr>
    </w:p>
    <w:p w14:paraId="4C1654CF" w14:textId="77777777" w:rsidR="00C72AE0" w:rsidRDefault="00C72AE0">
      <w:pPr>
        <w:pStyle w:val="normal0"/>
      </w:pPr>
    </w:p>
    <w:p w14:paraId="0FC071CD" w14:textId="77777777" w:rsidR="00C72AE0" w:rsidRDefault="00C72AE0">
      <w:pPr>
        <w:pStyle w:val="normal0"/>
      </w:pPr>
    </w:p>
    <w:sectPr w:rsidR="00C72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41F1"/>
    <w:multiLevelType w:val="hybridMultilevel"/>
    <w:tmpl w:val="B6FEE780"/>
    <w:lvl w:ilvl="0" w:tplc="D8E6672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2AE0"/>
    <w:rsid w:val="003B5821"/>
    <w:rsid w:val="00774D95"/>
    <w:rsid w:val="00C72AE0"/>
    <w:rsid w:val="00E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9053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82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82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bioinf.eva.mpg.de/jbrowse/" TargetMode="External"/><Relationship Id="rId21" Type="http://schemas.openxmlformats.org/officeDocument/2006/relationships/hyperlink" Target="https://academic.oup.com/nar/article/47/D1/D29/5106144" TargetMode="External"/><Relationship Id="rId22" Type="http://schemas.openxmlformats.org/officeDocument/2006/relationships/hyperlink" Target="https://amtdb.org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ebi.ac.uk/ena/data/view/FN673705" TargetMode="External"/><Relationship Id="rId11" Type="http://schemas.openxmlformats.org/officeDocument/2006/relationships/hyperlink" Target="https://genome.ucsc.edu/Neandertal/" TargetMode="External"/><Relationship Id="rId12" Type="http://schemas.openxmlformats.org/officeDocument/2006/relationships/hyperlink" Target="https://www.ncbi.nlm.nih.gov/nuccore/196123578" TargetMode="External"/><Relationship Id="rId13" Type="http://schemas.openxmlformats.org/officeDocument/2006/relationships/hyperlink" Target="https://www.ncbi.nlm.nih.gov/nuccore/17981852" TargetMode="External"/><Relationship Id="rId14" Type="http://schemas.openxmlformats.org/officeDocument/2006/relationships/hyperlink" Target="https://www.ncbi.nlm.nih.gov/nuccore/196123578" TargetMode="External"/><Relationship Id="rId15" Type="http://schemas.openxmlformats.org/officeDocument/2006/relationships/hyperlink" Target="https://www.ncbi.nlm.nih.gov/nuccore/196123578" TargetMode="External"/><Relationship Id="rId16" Type="http://schemas.openxmlformats.org/officeDocument/2006/relationships/hyperlink" Target="https://www.ncbi.nlm.nih.gov/nuccore/251831106" TargetMode="External"/><Relationship Id="rId17" Type="http://schemas.openxmlformats.org/officeDocument/2006/relationships/hyperlink" Target="https://www.ncbi.nlm.nih.gov/nucleotide/NC_001643.1" TargetMode="External"/><Relationship Id="rId18" Type="http://schemas.openxmlformats.org/officeDocument/2006/relationships/hyperlink" Target="http://www.drive5.com/muscle/" TargetMode="External"/><Relationship Id="rId19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ature.com/articles/nature08976" TargetMode="External"/><Relationship Id="rId7" Type="http://schemas.openxmlformats.org/officeDocument/2006/relationships/hyperlink" Target="https://www.nature.com/articles/nature0897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515</Words>
  <Characters>2936</Characters>
  <Application>Microsoft Macintosh Word</Application>
  <DocSecurity>0</DocSecurity>
  <Lines>24</Lines>
  <Paragraphs>6</Paragraphs>
  <ScaleCrop>false</ScaleCrop>
  <Company>Biophysics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Poptsova</cp:lastModifiedBy>
  <cp:revision>4</cp:revision>
  <cp:lastPrinted>2020-04-28T22:49:00Z</cp:lastPrinted>
  <dcterms:created xsi:type="dcterms:W3CDTF">2020-04-28T22:46:00Z</dcterms:created>
  <dcterms:modified xsi:type="dcterms:W3CDTF">2020-04-28T22:51:00Z</dcterms:modified>
</cp:coreProperties>
</file>