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33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02.09.2025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Паспорт резидента республики беларусь: ххххвв22</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60 лет ссср. д 10. Корпус 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альфа</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24151251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512512515</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2415161236216</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фпфпфп пфпфп ифпфп</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vladosk2004@gmail.com</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80297684465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новый</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фпфпфп пфпфп ифпфп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02.09.2025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фпфпфпфпфп фпфпфпф пфпфпфпфп / фпфпфпфп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оооо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оооо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фпфпфп пфпфп ифпфп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п.и. фпфпфп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