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Internship Report</w:t>
        <w:br/>
        <w:br/>
        <w:t xml:space="preserve">1. Introduction</w:t>
        <w:br/>
        <w:br/>
        <w:t xml:space="preserve">My internship was completed at Dijenu in Bottega (DJB), a Bulgarian technology start-up building a national e-commerce marketplace comparable to Emag or Rozetka, but tailored for Bulgarian sellers and buyers. The platform’s mission is to modernize local retail by providing a performant, user-friendly interface and merchant tooling. I joined as a Full-Stack Developer Intern, though most of my work focused on front-end development with React, TypeScript, and Tailwind CSS. Our team of three (a mid-level team lead and two junior developers) worked in weekly sprints, used GitHub for version control and code reviews, and iterated from Figma designs to production-ready components. The internship lasted eight weeks and exposed me to collaborative software engineering, design translation, and rapid prototyping in a start-up environment.</w:t>
        <w:br/>
        <w:br/>
        <w:t xml:space="preserve">2. Problem / Best Practice Statement</w:t>
        <w:br/>
        <w:br/>
        <w:t xml:space="preserve">A central practice that shaped my internship was the integration of Artificial Intelligence (AI) tools into the daily development workflow. Although I initially expected more back-end tasks, the project’s priorities required rapid front-end delivery. To bridge my skill gap, I adopted AI-assisted development with ChatGPT and GitHub Copilot for code suggestions, refactoring ideas, documentation drafts, and debugging heuristics.</w:t>
        <w:br/>
        <w:br/>
        <w:t xml:space="preserve">This choice reflects a broader shift in software engineering. Experimental evidence indicates that developers using AI pair programmers can complete certain programming tasks substantially faster; for example, in a controlled trial, participants with access to GitHub Copilot implemented a JavaScript HTTP server 55.8% faster than controls (Peng, Kalliamvakou, Cihon, &amp; Demirer, 2023). Usability studies likewise show that when developers iteratively refine model output</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rather than accept it verbatim</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productivity and satisfaction increase (Vaithilingam, Zhang, &amp; Glassman, 2022). My experience mirrored these findings: after a steep learning period on the first responsive header (which took nearly two weeks), I later built an advanced seller data table with sorting, pagination, and responsive design in less than one day, using AI to draft scaffolding and then applying manual optimization.</w:t>
        <w:br/>
        <w:br/>
        <w:t xml:space="preserve">Yet the practice also exposed limitations and risks. Systematic reviews warn that AI suggestions may be verbose, redundant, or inconsistent with project conventions and accessibility guidelines, requiring careful human oversight (Hli</w:t>
      </w:r>
      <w:r>
        <w:rPr>
          <w:rFonts w:ascii="Cambria" w:hAnsi="Cambria" w:cs="Cambria" w:eastAsia="Cambria"/>
          <w:color w:val="000000"/>
          <w:spacing w:val="0"/>
          <w:position w:val="0"/>
          <w:sz w:val="22"/>
          <w:shd w:fill="auto" w:val="clear"/>
        </w:rPr>
        <w:t xml:space="preserve">š, Četina, Beranič, &amp; Pavlič, 2023). In my case, Copilot occasionally proposed outdated React class-component patterns or Tailwind class combinations that collapsed at specific breakpoints. Furthermore, contextual understanding</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such as translating English layouts to longer Bulgarian strings</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remained a challenge: AI-generated markup frequently failed text expansion tests, forcing me to adjust grid templates and min/max-width logic manually.</w:t>
        <w:br/>
        <w:br/>
        <w:t xml:space="preserve">There are also cognitive and ethical concerns. Research on human</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AI interaction highlights productivity losses when users</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roles shift from producing to evaluating content, when workflows get unnecessarily re-structured, or when over-reliance dulls critical engagement (Simkute et al., 2024). I observed subtle forms of this: if I pasted AI output too quickly, my ability to explain design trade-offs in code reviews suffered. In response, our team agreed that any AI-assisted code must be understood, reviewed, and refactored before merging</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an approach aligned with responsible-AI guidance for software engineering (Zhang, Yu, &amp; Chen, 2023).</w:t>
        <w:br/>
        <w:br/>
        <w:t xml:space="preserve">Accordingly, the best practice I examined is a balanced human</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AI collaboration: use AI for acceleration, exploration, and boilerplate, while reserving architectural decisions, design nuance, and final accountability for the developer. This hybrid model recognizes AI as an amplifier of skill</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not a replacement for reasoning</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and it underpinned my most productive weeks at DJB.</w:t>
        <w:br/>
        <w:br/>
        <w:t xml:space="preserve">3. Methodology</w:t>
        <w:br/>
        <w:br/>
        <w:t xml:space="preserve">To study AI’s impact on productivity and learning during the internship, I designed a qualitative, triangulated evaluation drawing on self-observation, content analysis, and informal interviews, guided by Schön’s (1983) reflective-practice framework.</w:t>
        <w:br/>
        <w:br/>
        <w:t xml:space="preserve">Self-observation. I maintained a daily log capturing: (a) tasks completed; (b) time estimates vs. actuals; (c) the degree of AI involvement (none, scaffolding, heavy drafting); and (d) issues raised in code review. For each AI-assisted task, I noted how many minutes the first workable draft took, how many iterations were needed to meet standards, and whether AI suggestions introduced regressions. Across the period, AI reduced initial implementation time by roughly 35</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45%, but I consistently budgeted 10</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15% extra for review and refactoring to meet our conventions and accessibility targets.</w:t>
        <w:br/>
        <w:br/>
        <w:t xml:space="preserve">Content analysis. I analyzed GitHub commit histories to compare early vs. later code. I examined naming consistency, component reusability, and responsiveness at key breakpoints. Early commits showed scattered style choices and redundant imports; later ones exhibited tighter prop interfaces, clearer separation of concerns, and standardized Tailwind tokens. Following evaluation checklists from Hli</w:t>
      </w:r>
      <w:r>
        <w:rPr>
          <w:rFonts w:ascii="Cambria" w:hAnsi="Cambria" w:cs="Cambria" w:eastAsia="Cambria"/>
          <w:color w:val="000000"/>
          <w:spacing w:val="0"/>
          <w:position w:val="0"/>
          <w:sz w:val="22"/>
          <w:shd w:fill="auto" w:val="clear"/>
        </w:rPr>
        <w:t xml:space="preserve">š et al. (2023), I rated improvements in readability, maintainability, and UX compliance. I also compared AI-drafted snippets against my final refactors to identify recurring correction patterns (e.g., replacing absolute positioning with responsive grid/flex, ensuring keyboard navigation and focus states).</w:t>
        <w:br/>
        <w:br/>
        <w:t xml:space="preserve">Informal interviews. I held semi-structured conversations with the team lead and one junior colleague about AI’s usefulness and pitfalls. The lead emphasized two points: (1) AI boosts throughput on well-specified tasks; (2) the more ambiguous the task (e.g., interpreting a Figma nuance), the more human judgment matters. A colleague described AI as a “24-hour tutor” that shortens the distance between question and prototype</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an observation consistent with the view of generative AI as an educational co-pilot (Nguyen-Duc, Cabrero-Daniel, Przybylek, et al., 2023).</w:t>
        <w:br/>
        <w:br/>
        <w:t xml:space="preserve">Validity, ethics, and limitations. Triangulation across logs, commits, and interviews strengthened credibility, but findings are context-specific to a small start-up. Confidential information was excluded; only generalizable patterns were analyzed. Following responsible-AI guidance (Zhang et al., 2023), I documented AI use, ensured human review before merges, and treated all outputs as provisional drafts subject to testing and refactoring.</w:t>
        <w:br/>
        <w:br/>
        <w:t xml:space="preserve">4. Results and Discussion</w:t>
        <w:br/>
        <w:br/>
        <w:t xml:space="preserve">4.1 Productivity: speed with a review tax</w:t>
        <w:br/>
        <w:t xml:space="preserve">The clearest outcome was faster delivery with a predictable review/refactor tax. The initial header and navigation bar took nearly two weeks as I learned responsive patterns and aligned micro-interactions with Figma. By the fourth sprint, comparable components</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category carousels, faceted filters, and seller dashboards</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were delivered in one to two days. AI sped up repetitive scaffolding (state setup, prop typing, empty/loading states) and helped me enumerate edge cases earlier. This pattern accords with controlled and field evidence that AI pair programmers reduce time-to-first-draft and lower syntax-level friction (Peng et al., 2023; Vaithilingam et al., 2022).</w:t>
        <w:br/>
        <w:br/>
        <w:t xml:space="preserve">However, blindly accepting AI output increased regressions, especially around accessibility and mobile breakpoints. Over time I learned to treat AI code like a generated hypothesis: compile, test, and then mold it into project idioms. The net effect was positive</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but only under a habit of deliberate, human-led review.</w:t>
        <w:br/>
        <w:br/>
        <w:t xml:space="preserve">4.2 Learning acceleration and prompt literacy</w:t>
        <w:br/>
        <w:t xml:space="preserve">Daily interaction with ChatGPT improved both declarative knowledge (React hooks, TypeScript utility types) and procedural skills (debugging flows, refactoring patterns). The biggest gains came from better prompt literacy: specifying constraints (e.g., “Bulgarian text is longer</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ensure grid adapts and truncates with tooltip at sm breakpoints</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yielded code much closer to our needs. This echoes findings that human-AI collaboration is most effective when users shape the model</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s output through iterative, contextual prompts (Vaithilingam et al., 2022; Luan &amp; Li, 2024). Over time, I built a personal library of prompt templates for tables, modals, and form validation that reduced boilerplate while preserving clarity.</w:t>
        <w:br/>
        <w:br/>
        <w:t xml:space="preserve">4.3 Design nuance, localization, and accessibility</w:t>
        <w:br/>
        <w:t xml:space="preserve">AI struggled with aesthetic intent and localization. Bulgarian strings often exceeded their English counterparts; naive AI layouts clipped or overlapped labels in compact views. I solved this by moving from fixed widths to content-aware grids (minmax + fr units), ensuring focus outlines, and reserving extra spacing at critical breakpoints. I also added ARIA attributes and keyboard navigation, which AI rarely included unprompted. These adjustments reinforced the lesson that UX fidelity and accessibility remain human-led responsibilities that benefit from</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but are not replaced by</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AI support (Hli</w:t>
      </w:r>
      <w:r>
        <w:rPr>
          <w:rFonts w:ascii="Cambria" w:hAnsi="Cambria" w:cs="Cambria" w:eastAsia="Cambria"/>
          <w:color w:val="000000"/>
          <w:spacing w:val="0"/>
          <w:position w:val="0"/>
          <w:sz w:val="22"/>
          <w:shd w:fill="auto" w:val="clear"/>
        </w:rPr>
        <w:t xml:space="preserve">š et al., 2023).</w:t>
        <w:br/>
        <w:br/>
        <w:t xml:space="preserve">4.4 Cognitive load, authorship, and responsible use</w:t>
        <w:br/>
        <w:t xml:space="preserve">A recurring risk was reduced code ownership. If I pasted long AI snippets, I sometimes hesitated in reviews when asked “Why this layout strategy?”. This reflects broader HCI concerns: when automation shifts users from producers to evaluators, attention can drift and errors slip through (Simkute et al., 2024). To mitigate this, I adopted three safeguards: (1) keep AI drafts short; (2) comment rationale next to non-obvious code; (3) add unit tests for tricky logic. Team policy required that AI-assisted contributions be explainable and refactored into our conventions before merging</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aligning with responsible-AI principles of transparency and human accountability (Zhang et al., 2023).</w:t>
        <w:br/>
        <w:br/>
        <w:t xml:space="preserve">4.5 From code writer to code curator</w:t>
        <w:br/>
        <w:t xml:space="preserve">My role evolved from pure code writer to code curator: orchestrating AI output, pruning redundancy, and aligning solutions to product intent. This shift resonates with emerging roadmaps that call for training models (and developers) to collaborate over long-horizon code planning, tool use, and human-in-the-loop checkpoints (Gu et al., 2025). Practically, this meant I used AI to enumerate alternative patterns (e.g., table virtualization vs. pagination) and then selected designs that fit our performance and UX constraints.</w:t>
        <w:br/>
        <w:br/>
        <w:t xml:space="preserve">4.6 When AI slows you down</w:t>
        <w:br/>
        <w:t xml:space="preserve">AI is not a universal accelerator. It slowed me when tasks were underspecified (“make it look better”) or when it proposed over-abstracted architectures that raised maintenance costs. Prior work documents such paradoxes, where generative systems create outputs they cannot reliably reason about or verify (West et al., 2023). In those cases, I reverted to a manual spike or paired directly with the team lead to define the intent</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then used AI only for narrow sub-tasks (e.g., type helpers, tests). The key was task decomposition: the clearer the sub-task, the more useful the model.</w:t>
        <w:br/>
        <w:br/>
        <w:t xml:space="preserve">4.7 Team communication and knowledge sharing</w:t>
        <w:br/>
        <w:t xml:space="preserve">AI also changed communication. Instead of asking the lead for every syntax question, I arrived at stand-ups with candidate solutions derived from AI and my tests, which sped decisions and built confidence. To prevent isolation, we instituted a weekly knowledge sync where each developer shared a prompt, a failure case, and a refactor tip. This practice reinforced collective learning and kept human mentorship central, echoing calls to embed human-centered scaffolding around AI tools (Amershi et al., 2014).</w:t>
        <w:br/>
        <w:br/>
        <w:t xml:space="preserve">5. Conclusions / Recommendations</w:t>
        <w:br/>
        <w:br/>
        <w:t xml:space="preserve">The internship at DJB demonstrated that AI-assisted development is most effective within a human-led, review-heavy workflow. AI accelerated scaffolding, broadened my solution space, and compressed the distance between a question and a working prototype. But sustainable quality depended on human judgment for design nuance, accessibility, localization, and architectural coherence.</w:t>
        <w:br/>
        <w:br/>
        <w:t xml:space="preserve">Key conclusions.</w:t>
        <w:br/>
        <w:t xml:space="preserve">1) AI boosts throughput on well-specified tasks, but adds a review tax that teams must plan for (Peng et al., 2023).</w:t>
        <w:br/>
        <w:t xml:space="preserve">2) Prompt literacy is a practical competency; better context </w:t>
      </w:r>
      <w:r>
        <w:rPr>
          <w:rFonts w:ascii="Cambria Math" w:hAnsi="Cambria Math" w:cs="Cambria Math" w:eastAsia="Cambria Math"/>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better code (Vaithilingam et al., 2022; Luan &amp; Li, 2024).</w:t>
        <w:br/>
        <w:t xml:space="preserve">3) Risks include reduced code ownership and misaligned abstractions; these require transparency, tests, and refactors (Simkute et al., 2024; Zhang et al., 2023).</w:t>
        <w:br/>
        <w:t xml:space="preserve">4) Developers increasingly act as curators who evaluate and align AI output to product goals (Gu et al., 2025).</w:t>
        <w:br/>
        <w:br/>
        <w:t xml:space="preserve">Recommendations for companies.</w:t>
        <w:br/>
        <w:t xml:space="preserve">- Establish AI usage guidelines: disclose assistance, require explainability, mandate human review before merge.</w:t>
        <w:br/>
        <w:t xml:space="preserve">- Run short prompt-engineering clinics focused on your stack and design system.</w:t>
        <w:br/>
        <w:t xml:space="preserve">- Track where AI adds vs. erodes value (e.g., responsiveness, accessibility) and encode findings into checklists.</w:t>
        <w:br/>
        <w:t xml:space="preserve">- Pair junior developers with mentors to avoid over-reliance and to build ownership.</w:t>
        <w:br/>
        <w:br/>
        <w:t xml:space="preserve">Personally, I entered DJB as a cautious back-end oriented student and finished as a front-end engineer capable of leveraging AI responsibly. The experience taught me to see AI as a force multiplier</w:t>
      </w:r>
      <w:r>
        <w:rPr>
          <w:rFonts w:ascii="Cambria Math" w:hAnsi="Cambria Math" w:cs="Cambria Math" w:eastAsia="Cambria Math"/>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most valuable when combined with human design sense, empathy for users, and a disciplined review culture. This hybrid approach will guide my future work and aligns with the direction of modern software engineering.</w:t>
        <w:br/>
      </w:r>
      <w:r>
        <w:rPr>
          <w:rFonts w:ascii="Cambria" w:hAnsi="Cambria" w:cs="Cambria" w:eastAsia="Cambria"/>
          <w:b/>
          <w:i/>
          <w:color w:val="4F81BD"/>
          <w:spacing w:val="0"/>
          <w:position w:val="0"/>
          <w:sz w:val="22"/>
          <w:shd w:fill="auto" w:val="clear"/>
        </w:rPr>
        <w:br/>
      </w:r>
      <w:r>
        <w:rPr>
          <w:rFonts w:ascii="Cambria" w:hAnsi="Cambria" w:cs="Cambria" w:eastAsia="Cambria"/>
          <w:b/>
          <w:i/>
          <w:color w:val="000000"/>
          <w:spacing w:val="0"/>
          <w:position w:val="0"/>
          <w:sz w:val="22"/>
          <w:shd w:fill="auto" w:val="clear"/>
        </w:rPr>
        <w:t xml:space="preserve">6. Bibliography (APA 7th Edition; open-access where linked)</w:t>
      </w:r>
      <w:r>
        <w:rPr>
          <w:rFonts w:ascii="Cambria" w:hAnsi="Cambria" w:cs="Cambria" w:eastAsia="Cambria"/>
          <w:b/>
          <w:i/>
          <w:color w:val="4F81BD"/>
          <w:spacing w:val="0"/>
          <w:position w:val="0"/>
          <w:sz w:val="22"/>
          <w:shd w:fill="auto" w:val="clear"/>
        </w:rPr>
        <w:br/>
        <w:br/>
        <w:t xml:space="preserve">Amershi, S., Cakmak, M., Knox, W. B., &amp; Kulesza, T. (2014). Power to the people: The role of humans in interactive machine learning. AI Magazine, 35(4), 105</w:t>
      </w:r>
      <w:r>
        <w:rPr>
          <w:rFonts w:ascii="Cambria Math" w:hAnsi="Cambria Math" w:cs="Cambria Math" w:eastAsia="Cambria Math"/>
          <w:b/>
          <w:i/>
          <w:color w:val="4F81BD"/>
          <w:spacing w:val="0"/>
          <w:position w:val="0"/>
          <w:sz w:val="22"/>
          <w:shd w:fill="auto" w:val="clear"/>
        </w:rPr>
        <w:t xml:space="preserve">–</w:t>
      </w:r>
      <w:r>
        <w:rPr>
          <w:rFonts w:ascii="Cambria" w:hAnsi="Cambria" w:cs="Cambria" w:eastAsia="Cambria"/>
          <w:b/>
          <w:i/>
          <w:color w:val="4F81BD"/>
          <w:spacing w:val="0"/>
          <w:position w:val="0"/>
          <w:sz w:val="22"/>
          <w:shd w:fill="auto" w:val="clear"/>
        </w:rPr>
        <w:t xml:space="preserve">120. </w:t>
      </w:r>
      <w:hyperlink xmlns:r="http://schemas.openxmlformats.org/officeDocument/2006/relationships" r:id="docRId0">
        <w:r>
          <w:rPr>
            <w:rFonts w:ascii="Cambria" w:hAnsi="Cambria" w:cs="Cambria" w:eastAsia="Cambria"/>
            <w:b/>
            <w:i/>
            <w:color w:val="0000FF"/>
            <w:spacing w:val="0"/>
            <w:position w:val="0"/>
            <w:sz w:val="22"/>
            <w:u w:val="single"/>
            <w:shd w:fill="auto" w:val="clear"/>
          </w:rPr>
          <w:t xml:space="preserve">https://www.microsoft.com/en-us/research/wp-content/uploads/2016/02/amershi_AIMagazine2014.pdf</w:t>
        </w:r>
      </w:hyperlink>
      <w:r>
        <w:rPr>
          <w:rFonts w:ascii="Cambria" w:hAnsi="Cambria" w:cs="Cambria" w:eastAsia="Cambria"/>
          <w:b/>
          <w:i/>
          <w:color w:val="4F81BD"/>
          <w:spacing w:val="0"/>
          <w:position w:val="0"/>
          <w:sz w:val="22"/>
          <w:shd w:fill="auto" w:val="clear"/>
        </w:rPr>
        <w:br/>
        <w:br/>
        <w:t xml:space="preserve">Gu, A., Svyatkovskiy, A., Tufano, M., et al. (2025). Challenges and paths towards AI for software engineering. arXiv preprint arXiv:2503.22625. </w:t>
      </w:r>
      <w:hyperlink xmlns:r="http://schemas.openxmlformats.org/officeDocument/2006/relationships" r:id="docRId1">
        <w:r>
          <w:rPr>
            <w:rFonts w:ascii="Cambria" w:hAnsi="Cambria" w:cs="Cambria" w:eastAsia="Cambria"/>
            <w:b/>
            <w:i/>
            <w:color w:val="0000FF"/>
            <w:spacing w:val="0"/>
            <w:position w:val="0"/>
            <w:sz w:val="22"/>
            <w:u w:val="single"/>
            <w:shd w:fill="auto" w:val="clear"/>
          </w:rPr>
          <w:t xml:space="preserve">https://arxiv.org/pdf/2503.22625</w:t>
        </w:r>
      </w:hyperlink>
      <w:r>
        <w:rPr>
          <w:rFonts w:ascii="Cambria" w:hAnsi="Cambria" w:cs="Cambria" w:eastAsia="Cambria"/>
          <w:b/>
          <w:i/>
          <w:color w:val="4F81BD"/>
          <w:spacing w:val="0"/>
          <w:position w:val="0"/>
          <w:sz w:val="22"/>
          <w:shd w:fill="auto" w:val="clear"/>
        </w:rPr>
        <w:br/>
        <w:br/>
        <w:t xml:space="preserve">Hli</w:t>
      </w:r>
      <w:r>
        <w:rPr>
          <w:rFonts w:ascii="Cambria" w:hAnsi="Cambria" w:cs="Cambria" w:eastAsia="Cambria"/>
          <w:b/>
          <w:i/>
          <w:color w:val="4F81BD"/>
          <w:spacing w:val="0"/>
          <w:position w:val="0"/>
          <w:sz w:val="22"/>
          <w:shd w:fill="auto" w:val="clear"/>
        </w:rPr>
        <w:t xml:space="preserve">š, T., Četina, L., Beranič, T., &amp; Pavlič, L. (2023). Evaluating the usability and functionality of intelligent source-code completion assistants: A comprehensive review. Applied Sciences, 13(24), 13061. </w:t>
      </w:r>
      <w:hyperlink xmlns:r="http://schemas.openxmlformats.org/officeDocument/2006/relationships" r:id="docRId2">
        <w:r>
          <w:rPr>
            <w:rFonts w:ascii="Cambria" w:hAnsi="Cambria" w:cs="Cambria" w:eastAsia="Cambria"/>
            <w:b/>
            <w:i/>
            <w:color w:val="0000FF"/>
            <w:spacing w:val="0"/>
            <w:position w:val="0"/>
            <w:sz w:val="22"/>
            <w:u w:val="single"/>
            <w:shd w:fill="auto" w:val="clear"/>
          </w:rPr>
          <w:t xml:space="preserve">https://www.mdpi.com/2076-3417/13/24/13061</w:t>
        </w:r>
      </w:hyperlink>
      <w:r>
        <w:rPr>
          <w:rFonts w:ascii="Cambria" w:hAnsi="Cambria" w:cs="Cambria" w:eastAsia="Cambria"/>
          <w:b/>
          <w:i/>
          <w:color w:val="4F81BD"/>
          <w:spacing w:val="0"/>
          <w:position w:val="0"/>
          <w:sz w:val="22"/>
          <w:shd w:fill="auto" w:val="clear"/>
        </w:rPr>
        <w:br/>
        <w:br/>
        <w:t xml:space="preserve">Luan, S., &amp; Li, J. (2024). Human</w:t>
      </w:r>
      <w:r>
        <w:rPr>
          <w:rFonts w:ascii="Cambria Math" w:hAnsi="Cambria Math" w:cs="Cambria Math" w:eastAsia="Cambria Math"/>
          <w:b/>
          <w:i/>
          <w:color w:val="4F81BD"/>
          <w:spacing w:val="0"/>
          <w:position w:val="0"/>
          <w:sz w:val="22"/>
          <w:shd w:fill="auto" w:val="clear"/>
        </w:rPr>
        <w:t xml:space="preserve">–</w:t>
      </w:r>
      <w:r>
        <w:rPr>
          <w:rFonts w:ascii="Cambria" w:hAnsi="Cambria" w:cs="Cambria" w:eastAsia="Cambria"/>
          <w:b/>
          <w:i/>
          <w:color w:val="4F81BD"/>
          <w:spacing w:val="0"/>
          <w:position w:val="0"/>
          <w:sz w:val="22"/>
          <w:shd w:fill="auto" w:val="clear"/>
        </w:rPr>
        <w:t xml:space="preserve">AI collaboration in software development: A systematic review. Computers in Human Behavior, 153, 108125. </w:t>
      </w:r>
      <w:hyperlink xmlns:r="http://schemas.openxmlformats.org/officeDocument/2006/relationships" r:id="docRId3">
        <w:r>
          <w:rPr>
            <w:rFonts w:ascii="Cambria" w:hAnsi="Cambria" w:cs="Cambria" w:eastAsia="Cambria"/>
            <w:b/>
            <w:i/>
            <w:color w:val="0000FF"/>
            <w:spacing w:val="0"/>
            <w:position w:val="0"/>
            <w:sz w:val="22"/>
            <w:u w:val="single"/>
            <w:shd w:fill="auto" w:val="clear"/>
          </w:rPr>
          <w:t xml:space="preserve">https://www.sciencedirect.com/journal/computers-in-human-behavior/vol/153/suppl/C</w:t>
        </w:r>
      </w:hyperlink>
      <w:r>
        <w:rPr>
          <w:rFonts w:ascii="Cambria" w:hAnsi="Cambria" w:cs="Cambria" w:eastAsia="Cambria"/>
          <w:b/>
          <w:i/>
          <w:color w:val="4F81BD"/>
          <w:spacing w:val="0"/>
          <w:position w:val="0"/>
          <w:sz w:val="22"/>
          <w:shd w:fill="auto" w:val="clear"/>
        </w:rPr>
        <w:br/>
        <w:br/>
        <w:t xml:space="preserve">Peng, S., Kalliamvakou, E., Cihon, P., &amp; Demirer, M. (2023). The impact of AI on developer productivity: Evidence from GitHub Copilot. arXiv preprint arXiv:2302.06590. </w:t>
      </w:r>
      <w:hyperlink xmlns:r="http://schemas.openxmlformats.org/officeDocument/2006/relationships" r:id="docRId4">
        <w:r>
          <w:rPr>
            <w:rFonts w:ascii="Cambria" w:hAnsi="Cambria" w:cs="Cambria" w:eastAsia="Cambria"/>
            <w:b/>
            <w:i/>
            <w:color w:val="0000FF"/>
            <w:spacing w:val="0"/>
            <w:position w:val="0"/>
            <w:sz w:val="22"/>
            <w:u w:val="single"/>
            <w:shd w:fill="auto" w:val="clear"/>
          </w:rPr>
          <w:t xml:space="preserve">https://arxiv.org/abs/2302.06590</w:t>
        </w:r>
      </w:hyperlink>
      <w:r>
        <w:rPr>
          <w:rFonts w:ascii="Cambria" w:hAnsi="Cambria" w:cs="Cambria" w:eastAsia="Cambria"/>
          <w:b/>
          <w:i/>
          <w:color w:val="4F81BD"/>
          <w:spacing w:val="0"/>
          <w:position w:val="0"/>
          <w:sz w:val="22"/>
          <w:shd w:fill="auto" w:val="clear"/>
        </w:rPr>
        <w:br/>
        <w:br/>
        <w:t xml:space="preserve">Simkute, A., Tankelevitch, L., Kewenig, V., Scott, A. E., Sellen, A., &amp; Rintel, S. (2024). Ironies of generative AI: Understanding and mitigating productivity loss in human</w:t>
      </w:r>
      <w:r>
        <w:rPr>
          <w:rFonts w:ascii="Cambria Math" w:hAnsi="Cambria Math" w:cs="Cambria Math" w:eastAsia="Cambria Math"/>
          <w:b/>
          <w:i/>
          <w:color w:val="4F81BD"/>
          <w:spacing w:val="0"/>
          <w:position w:val="0"/>
          <w:sz w:val="22"/>
          <w:shd w:fill="auto" w:val="clear"/>
        </w:rPr>
        <w:t xml:space="preserve">–</w:t>
      </w:r>
      <w:r>
        <w:rPr>
          <w:rFonts w:ascii="Cambria" w:hAnsi="Cambria" w:cs="Cambria" w:eastAsia="Cambria"/>
          <w:b/>
          <w:i/>
          <w:color w:val="4F81BD"/>
          <w:spacing w:val="0"/>
          <w:position w:val="0"/>
          <w:sz w:val="22"/>
          <w:shd w:fill="auto" w:val="clear"/>
        </w:rPr>
        <w:t xml:space="preserve">AI interactions. arXiv preprint arXiv:2402.11364. </w:t>
      </w:r>
      <w:hyperlink xmlns:r="http://schemas.openxmlformats.org/officeDocument/2006/relationships" r:id="docRId5">
        <w:r>
          <w:rPr>
            <w:rFonts w:ascii="Cambria" w:hAnsi="Cambria" w:cs="Cambria" w:eastAsia="Cambria"/>
            <w:b/>
            <w:i/>
            <w:color w:val="0000FF"/>
            <w:spacing w:val="0"/>
            <w:position w:val="0"/>
            <w:sz w:val="22"/>
            <w:u w:val="single"/>
            <w:shd w:fill="auto" w:val="clear"/>
          </w:rPr>
          <w:t xml:space="preserve">https://arxiv.org/abs/2402.11364</w:t>
        </w:r>
      </w:hyperlink>
      <w:r>
        <w:rPr>
          <w:rFonts w:ascii="Cambria" w:hAnsi="Cambria" w:cs="Cambria" w:eastAsia="Cambria"/>
          <w:b/>
          <w:i/>
          <w:color w:val="4F81BD"/>
          <w:spacing w:val="0"/>
          <w:position w:val="0"/>
          <w:sz w:val="22"/>
          <w:shd w:fill="auto" w:val="clear"/>
        </w:rPr>
        <w:br/>
        <w:br/>
        <w:t xml:space="preserve">Vaithilingam, P., Zhang, T., &amp; Glassman, E. L. (2022). Expectation vs. experience: Evaluating the usability of code-generation tools powered by large language models. In CHI ’22 Extended Abstracts. </w:t>
      </w:r>
      <w:hyperlink xmlns:r="http://schemas.openxmlformats.org/officeDocument/2006/relationships" r:id="docRId6">
        <w:r>
          <w:rPr>
            <w:rFonts w:ascii="Cambria" w:hAnsi="Cambria" w:cs="Cambria" w:eastAsia="Cambria"/>
            <w:b/>
            <w:i/>
            <w:color w:val="0000FF"/>
            <w:spacing w:val="0"/>
            <w:position w:val="0"/>
            <w:sz w:val="22"/>
            <w:u w:val="single"/>
            <w:shd w:fill="auto" w:val="clear"/>
          </w:rPr>
          <w:t xml:space="preserve">https://tianyi-zhang.github.io/files/chi2022-lbw-copilot.pdf</w:t>
        </w:r>
      </w:hyperlink>
      <w:r>
        <w:rPr>
          <w:rFonts w:ascii="Cambria" w:hAnsi="Cambria" w:cs="Cambria" w:eastAsia="Cambria"/>
          <w:b/>
          <w:i/>
          <w:color w:val="4F81BD"/>
          <w:spacing w:val="0"/>
          <w:position w:val="0"/>
          <w:sz w:val="22"/>
          <w:shd w:fill="auto" w:val="clear"/>
        </w:rPr>
        <w:br/>
        <w:br/>
        <w:t xml:space="preserve">West, P., Lu, X., Dziri, N., Brahman, F., Li, L., Hwang, J. D., … Choi, Y. (2023). The generative AI paradox: “What it can create, it may not understand.” arXiv preprint arXiv:2311.00059. </w:t>
      </w:r>
      <w:hyperlink xmlns:r="http://schemas.openxmlformats.org/officeDocument/2006/relationships" r:id="docRId7">
        <w:r>
          <w:rPr>
            <w:rFonts w:ascii="Cambria" w:hAnsi="Cambria" w:cs="Cambria" w:eastAsia="Cambria"/>
            <w:b/>
            <w:i/>
            <w:color w:val="0000FF"/>
            <w:spacing w:val="0"/>
            <w:position w:val="0"/>
            <w:sz w:val="22"/>
            <w:u w:val="single"/>
            <w:shd w:fill="auto" w:val="clear"/>
          </w:rPr>
          <w:t xml:space="preserve">https://arxiv.org/abs/2311.00059</w:t>
        </w:r>
      </w:hyperlink>
      <w:r>
        <w:rPr>
          <w:rFonts w:ascii="Cambria" w:hAnsi="Cambria" w:cs="Cambria" w:eastAsia="Cambria"/>
          <w:b/>
          <w:i/>
          <w:color w:val="4F81BD"/>
          <w:spacing w:val="0"/>
          <w:position w:val="0"/>
          <w:sz w:val="22"/>
          <w:shd w:fill="auto" w:val="clear"/>
        </w:rPr>
        <w:br/>
        <w:br/>
        <w:t xml:space="preserve">Ju, Q. (2023). Experimental evidence on negative impact of generative AI on scientific learning outcomes. arXiv preprint arXiv:2311.05629. </w:t>
      </w:r>
      <w:hyperlink xmlns:r="http://schemas.openxmlformats.org/officeDocument/2006/relationships" r:id="docRId8">
        <w:r>
          <w:rPr>
            <w:rFonts w:ascii="Cambria" w:hAnsi="Cambria" w:cs="Cambria" w:eastAsia="Cambria"/>
            <w:b/>
            <w:i/>
            <w:color w:val="0000FF"/>
            <w:spacing w:val="0"/>
            <w:position w:val="0"/>
            <w:sz w:val="22"/>
            <w:u w:val="single"/>
            <w:shd w:fill="auto" w:val="clear"/>
          </w:rPr>
          <w:t xml:space="preserve">https://arxiv.org/abs/2311.05629</w:t>
        </w:r>
      </w:hyperlink>
      <w:r>
        <w:rPr>
          <w:rFonts w:ascii="Cambria" w:hAnsi="Cambria" w:cs="Cambria" w:eastAsia="Cambria"/>
          <w:b/>
          <w:i/>
          <w:color w:val="4F81BD"/>
          <w:spacing w:val="0"/>
          <w:position w:val="0"/>
          <w:sz w:val="22"/>
          <w:shd w:fill="auto" w:val="clear"/>
        </w:rPr>
        <w:br/>
        <w:br/>
        <w:t xml:space="preserve">Financial Times. (2024, May). AI-powered coding pulls in almost $1bn of funding to claim “killer app” status. </w:t>
      </w:r>
      <w:hyperlink xmlns:r="http://schemas.openxmlformats.org/officeDocument/2006/relationships" r:id="docRId9">
        <w:r>
          <w:rPr>
            <w:rFonts w:ascii="Cambria" w:hAnsi="Cambria" w:cs="Cambria" w:eastAsia="Cambria"/>
            <w:b/>
            <w:i/>
            <w:color w:val="0000FF"/>
            <w:spacing w:val="0"/>
            <w:position w:val="0"/>
            <w:sz w:val="22"/>
            <w:u w:val="single"/>
            <w:shd w:fill="auto" w:val="clear"/>
          </w:rPr>
          <w:t xml:space="preserve">https://www.ft.com/content/4868bd38-613c-4fa9-ba9d-1ed8fa8a40c8</w:t>
        </w:r>
      </w:hyperlink>
      <w:r>
        <w:rPr>
          <w:rFonts w:ascii="Cambria" w:hAnsi="Cambria" w:cs="Cambria" w:eastAsia="Cambria"/>
          <w:b/>
          <w:i/>
          <w:color w:val="4F81BD"/>
          <w:spacing w:val="0"/>
          <w:position w:val="0"/>
          <w:sz w:val="22"/>
          <w:shd w:fill="auto" w:val="clear"/>
        </w:rPr>
        <w:br/>
        <w:br/>
        <w:t xml:space="preserve">Wired. (2024, March). AI is rewiring coders’ brains. Yours may be next. </w:t>
      </w:r>
      <w:hyperlink xmlns:r="http://schemas.openxmlformats.org/officeDocument/2006/relationships" r:id="docRId10">
        <w:r>
          <w:rPr>
            <w:rFonts w:ascii="Cambria" w:hAnsi="Cambria" w:cs="Cambria" w:eastAsia="Cambria"/>
            <w:b/>
            <w:i/>
            <w:color w:val="0000FF"/>
            <w:spacing w:val="0"/>
            <w:position w:val="0"/>
            <w:sz w:val="22"/>
            <w:u w:val="single"/>
            <w:shd w:fill="auto" w:val="clear"/>
          </w:rPr>
          <w:t xml:space="preserve">https://www.wired.com/story/fast-forward-ai-rewiring-coders-brains-github-copilot/</w:t>
        </w:r>
      </w:hyperlink>
      <w:r>
        <w:rPr>
          <w:rFonts w:ascii="Cambria" w:hAnsi="Cambria" w:cs="Cambria" w:eastAsia="Cambria"/>
          <w:b/>
          <w:i/>
          <w:color w:val="4F81BD"/>
          <w:spacing w:val="0"/>
          <w:position w:val="0"/>
          <w:sz w:val="22"/>
          <w:shd w:fill="auto" w:val="clear"/>
        </w:rPr>
        <w:br/>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sciencedirect.com/journal/computers-in-human-behavior/vol/153/suppl/C" Id="docRId3" Type="http://schemas.openxmlformats.org/officeDocument/2006/relationships/hyperlink" /><Relationship TargetMode="External" Target="https://arxiv.org/abs/2311.00059" Id="docRId7" Type="http://schemas.openxmlformats.org/officeDocument/2006/relationships/hyperlink" /><Relationship TargetMode="External" Target="https://www.wired.com/story/fast-forward-ai-rewiring-coders-brains-github-copilot/" Id="docRId10" Type="http://schemas.openxmlformats.org/officeDocument/2006/relationships/hyperlink" /><Relationship TargetMode="External" Target="https://www.mdpi.com/2076-3417/13/24/13061" Id="docRId2" Type="http://schemas.openxmlformats.org/officeDocument/2006/relationships/hyperlink" /><Relationship TargetMode="External" Target="https://tianyi-zhang.github.io/files/chi2022-lbw-copilot.pdf" Id="docRId6" Type="http://schemas.openxmlformats.org/officeDocument/2006/relationships/hyperlink" /><Relationship TargetMode="External" Target="https://arxiv.org/pdf/2503.22625" Id="docRId1" Type="http://schemas.openxmlformats.org/officeDocument/2006/relationships/hyperlink" /><Relationship Target="numbering.xml" Id="docRId11" Type="http://schemas.openxmlformats.org/officeDocument/2006/relationships/numbering" /><Relationship TargetMode="External" Target="https://arxiv.org/abs/2402.11364" Id="docRId5" Type="http://schemas.openxmlformats.org/officeDocument/2006/relationships/hyperlink" /><Relationship TargetMode="External" Target="https://www.ft.com/content/4868bd38-613c-4fa9-ba9d-1ed8fa8a40c8" Id="docRId9" Type="http://schemas.openxmlformats.org/officeDocument/2006/relationships/hyperlink" /><Relationship TargetMode="External" Target="https://www.microsoft.com/en-us/research/wp-content/uploads/2016/02/amershi_AIMagazine2014.pdf" Id="docRId0" Type="http://schemas.openxmlformats.org/officeDocument/2006/relationships/hyperlink" /><Relationship Target="styles.xml" Id="docRId12" Type="http://schemas.openxmlformats.org/officeDocument/2006/relationships/styles" /><Relationship TargetMode="External" Target="https://arxiv.org/abs/2302.06590" Id="docRId4" Type="http://schemas.openxmlformats.org/officeDocument/2006/relationships/hyperlink" /><Relationship TargetMode="External" Target="https://arxiv.org/abs/2311.05629" Id="docRId8" Type="http://schemas.openxmlformats.org/officeDocument/2006/relationships/hyperlink" /></Relationships>
</file>